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9076" w14:textId="77777777" w:rsidR="00BA4CB3" w:rsidRDefault="00BA4CB3">
      <w:pPr>
        <w:pStyle w:val="34"/>
        <w:rPr>
          <w:rStyle w:val="33"/>
          <w:sz w:val="24"/>
          <w:szCs w:val="24"/>
        </w:rPr>
      </w:pPr>
      <w:bookmarkStart w:id="0" w:name="_GoBack"/>
      <w:bookmarkEnd w:id="0"/>
    </w:p>
    <w:p w14:paraId="0AB6B50B" w14:textId="77777777" w:rsidR="00BA4CB3" w:rsidRDefault="00BA4CB3">
      <w:pPr>
        <w:pStyle w:val="34"/>
        <w:rPr>
          <w:rStyle w:val="33"/>
          <w:sz w:val="24"/>
          <w:szCs w:val="24"/>
        </w:rPr>
      </w:pPr>
    </w:p>
    <w:p w14:paraId="1E4C26FD" w14:textId="77777777" w:rsidR="00BA4CB3" w:rsidRDefault="00BA4CB3">
      <w:pPr>
        <w:pStyle w:val="34"/>
        <w:jc w:val="both"/>
        <w:rPr>
          <w:rStyle w:val="33"/>
          <w:sz w:val="24"/>
          <w:szCs w:val="24"/>
        </w:rPr>
      </w:pPr>
    </w:p>
    <w:p w14:paraId="6A807007" w14:textId="77777777" w:rsidR="00BA4CB3" w:rsidRDefault="003E3FA4">
      <w:pPr>
        <w:pStyle w:val="34"/>
      </w:pPr>
      <w:r>
        <w:rPr>
          <w:rStyle w:val="33"/>
          <w:b/>
          <w:sz w:val="24"/>
          <w:szCs w:val="24"/>
        </w:rPr>
        <w:t>ОТЧЕТ Ревизионной комиссии ТСЖ «</w:t>
      </w:r>
      <w:proofErr w:type="spellStart"/>
      <w:r>
        <w:rPr>
          <w:rStyle w:val="33"/>
          <w:b/>
          <w:sz w:val="24"/>
          <w:szCs w:val="24"/>
        </w:rPr>
        <w:t>Краснопролетарская</w:t>
      </w:r>
      <w:proofErr w:type="spellEnd"/>
      <w:r>
        <w:rPr>
          <w:rStyle w:val="33"/>
          <w:b/>
          <w:sz w:val="24"/>
          <w:szCs w:val="24"/>
        </w:rPr>
        <w:t>» с июля 2023 по март 2024 года</w:t>
      </w:r>
    </w:p>
    <w:p w14:paraId="5C56BE9E" w14:textId="77777777" w:rsidR="00BA4CB3" w:rsidRDefault="00BA4CB3">
      <w:pPr>
        <w:pStyle w:val="34"/>
        <w:rPr>
          <w:rFonts w:ascii="Times New Roman" w:hAnsi="Times New Roman"/>
          <w:sz w:val="24"/>
          <w:szCs w:val="24"/>
        </w:rPr>
      </w:pPr>
    </w:p>
    <w:p w14:paraId="06DB99D4" w14:textId="77777777" w:rsidR="00BA4CB3" w:rsidRDefault="003E3FA4">
      <w:pPr>
        <w:pStyle w:val="26"/>
        <w:ind w:right="5920"/>
        <w:jc w:val="both"/>
      </w:pPr>
      <w:r>
        <w:rPr>
          <w:rStyle w:val="25"/>
          <w:sz w:val="24"/>
          <w:szCs w:val="24"/>
        </w:rPr>
        <w:t xml:space="preserve">Дата проведения ревизии: ежеквартально </w:t>
      </w:r>
    </w:p>
    <w:p w14:paraId="31A9191B" w14:textId="77777777" w:rsidR="00BA4CB3" w:rsidRDefault="003E3FA4">
      <w:pPr>
        <w:pStyle w:val="26"/>
        <w:ind w:right="5920"/>
        <w:jc w:val="both"/>
      </w:pPr>
      <w:r>
        <w:rPr>
          <w:rStyle w:val="25"/>
          <w:sz w:val="24"/>
          <w:szCs w:val="24"/>
        </w:rPr>
        <w:t xml:space="preserve">г. Москва </w:t>
      </w:r>
    </w:p>
    <w:p w14:paraId="3F34F866" w14:textId="77777777" w:rsidR="00BA4CB3" w:rsidRDefault="00BA4CB3">
      <w:pPr>
        <w:pStyle w:val="26"/>
        <w:ind w:right="5920"/>
        <w:jc w:val="both"/>
        <w:rPr>
          <w:rFonts w:ascii="Times New Roman" w:hAnsi="Times New Roman"/>
          <w:sz w:val="24"/>
          <w:szCs w:val="24"/>
        </w:rPr>
      </w:pPr>
    </w:p>
    <w:p w14:paraId="6E2A47DB" w14:textId="77777777" w:rsidR="00BA4CB3" w:rsidRDefault="003E3FA4">
      <w:pPr>
        <w:pStyle w:val="26"/>
        <w:spacing w:line="226" w:lineRule="exact"/>
        <w:jc w:val="both"/>
      </w:pPr>
      <w:r>
        <w:rPr>
          <w:rStyle w:val="25"/>
          <w:sz w:val="24"/>
          <w:szCs w:val="24"/>
        </w:rPr>
        <w:t>Ревизионная комиссия Товарищест</w:t>
      </w:r>
      <w:r>
        <w:rPr>
          <w:rStyle w:val="25"/>
          <w:sz w:val="24"/>
          <w:szCs w:val="24"/>
        </w:rPr>
        <w:t>во собственников жилья «</w:t>
      </w:r>
      <w:proofErr w:type="spellStart"/>
      <w:r>
        <w:rPr>
          <w:rStyle w:val="25"/>
          <w:sz w:val="24"/>
          <w:szCs w:val="24"/>
        </w:rPr>
        <w:t>Краснопролетарская</w:t>
      </w:r>
      <w:proofErr w:type="spellEnd"/>
      <w:r>
        <w:rPr>
          <w:rStyle w:val="25"/>
          <w:sz w:val="24"/>
          <w:szCs w:val="24"/>
        </w:rPr>
        <w:t xml:space="preserve">», руководствуясь Жилищным кодексом РФ и Уставом ТСЖ, провела ревизию финансово-хозяйственной деятельности ТСЖ за период с июля 2023 г по март  2024 г. Ревизионной комиссией рассмотрены следующие вопросы и задачи: </w:t>
      </w:r>
    </w:p>
    <w:p w14:paraId="67137E7D" w14:textId="77777777" w:rsidR="00BA4CB3" w:rsidRDefault="003E3FA4">
      <w:pPr>
        <w:pStyle w:val="26"/>
        <w:spacing w:line="226" w:lineRule="exact"/>
        <w:jc w:val="both"/>
      </w:pPr>
      <w:r>
        <w:rPr>
          <w:rStyle w:val="25"/>
          <w:sz w:val="24"/>
          <w:szCs w:val="24"/>
        </w:rPr>
        <w:t xml:space="preserve">1.  С какими организациями и ИП ТСЖ работало за период с июля 2023 г. по март 2024 г на договорной основе. </w:t>
      </w:r>
    </w:p>
    <w:p w14:paraId="71E86AD5" w14:textId="77777777" w:rsidR="00BA4CB3" w:rsidRDefault="003E3FA4">
      <w:pPr>
        <w:pStyle w:val="26"/>
        <w:spacing w:line="226" w:lineRule="exact"/>
        <w:jc w:val="both"/>
      </w:pPr>
      <w:r>
        <w:rPr>
          <w:rStyle w:val="25"/>
          <w:sz w:val="24"/>
          <w:szCs w:val="24"/>
        </w:rPr>
        <w:t>2   В каком объеме и на какую сумму организации предоставили жителям и собственникам ТСЖ услуги, связанные с содержанием жилых и нежилых помещений,</w:t>
      </w:r>
      <w:r>
        <w:rPr>
          <w:rStyle w:val="25"/>
          <w:sz w:val="24"/>
          <w:szCs w:val="24"/>
        </w:rPr>
        <w:t xml:space="preserve"> за проверяемый период.</w:t>
      </w:r>
    </w:p>
    <w:p w14:paraId="7C575D05" w14:textId="77777777" w:rsidR="00BA4CB3" w:rsidRDefault="003E3FA4">
      <w:pPr>
        <w:pStyle w:val="26"/>
        <w:spacing w:line="226" w:lineRule="exact"/>
        <w:jc w:val="both"/>
      </w:pPr>
      <w:r>
        <w:rPr>
          <w:rStyle w:val="25"/>
          <w:sz w:val="24"/>
          <w:szCs w:val="24"/>
        </w:rPr>
        <w:t>3.  Проверка обоснованности тарифов, выставляемых ТСЖ для оплаты коммунальных услуг, связанных с содержанием квартир и нежилых помещений, за проверяемый период.</w:t>
      </w:r>
    </w:p>
    <w:p w14:paraId="3E987B88" w14:textId="77777777" w:rsidR="00BA4CB3" w:rsidRDefault="003E3FA4">
      <w:pPr>
        <w:pStyle w:val="26"/>
        <w:spacing w:line="226" w:lineRule="exact"/>
        <w:jc w:val="both"/>
      </w:pPr>
      <w:r>
        <w:rPr>
          <w:rStyle w:val="25"/>
          <w:sz w:val="24"/>
          <w:szCs w:val="24"/>
        </w:rPr>
        <w:t>4.   Проверка ведения бухгалтерской отчетности ТСЖ на соответствие зако</w:t>
      </w:r>
      <w:r>
        <w:rPr>
          <w:rStyle w:val="25"/>
          <w:sz w:val="24"/>
          <w:szCs w:val="24"/>
        </w:rPr>
        <w:t xml:space="preserve">нодательству РФ. </w:t>
      </w:r>
    </w:p>
    <w:p w14:paraId="7AC7EDD7" w14:textId="77777777" w:rsidR="00BA4CB3" w:rsidRDefault="003E3FA4">
      <w:pPr>
        <w:pStyle w:val="26"/>
        <w:spacing w:line="226" w:lineRule="exact"/>
        <w:jc w:val="both"/>
      </w:pPr>
      <w:r>
        <w:rPr>
          <w:rStyle w:val="25"/>
          <w:sz w:val="24"/>
          <w:szCs w:val="24"/>
        </w:rPr>
        <w:t xml:space="preserve">5.   Проверка целевого расходования денежных средств собственников ТСЖ. </w:t>
      </w:r>
    </w:p>
    <w:p w14:paraId="62FC3E59" w14:textId="77777777" w:rsidR="00BA4CB3" w:rsidRDefault="00BA4CB3">
      <w:pPr>
        <w:pStyle w:val="26"/>
        <w:spacing w:line="226" w:lineRule="exact"/>
        <w:jc w:val="both"/>
        <w:rPr>
          <w:rStyle w:val="25"/>
          <w:sz w:val="24"/>
          <w:szCs w:val="24"/>
        </w:rPr>
      </w:pPr>
    </w:p>
    <w:p w14:paraId="01F0D63F" w14:textId="77777777" w:rsidR="00BA4CB3" w:rsidRDefault="003E3FA4">
      <w:pPr>
        <w:pStyle w:val="34"/>
        <w:spacing w:line="226" w:lineRule="exact"/>
        <w:jc w:val="both"/>
      </w:pPr>
      <w:r>
        <w:rPr>
          <w:rStyle w:val="33"/>
          <w:b/>
          <w:sz w:val="24"/>
          <w:szCs w:val="24"/>
        </w:rPr>
        <w:t>Результаты ревизии.</w:t>
      </w:r>
    </w:p>
    <w:p w14:paraId="0F57D04F" w14:textId="77777777" w:rsidR="00BA4CB3" w:rsidRDefault="00BA4CB3">
      <w:pPr>
        <w:pStyle w:val="34"/>
        <w:spacing w:line="226" w:lineRule="exact"/>
        <w:jc w:val="both"/>
        <w:rPr>
          <w:rFonts w:ascii="Times New Roman" w:hAnsi="Times New Roman"/>
          <w:sz w:val="24"/>
          <w:szCs w:val="24"/>
        </w:rPr>
      </w:pPr>
    </w:p>
    <w:p w14:paraId="36DF1AA1" w14:textId="77777777" w:rsidR="00BA4CB3" w:rsidRDefault="003E3FA4">
      <w:pPr>
        <w:pStyle w:val="26"/>
        <w:spacing w:line="250" w:lineRule="exact"/>
        <w:jc w:val="both"/>
      </w:pPr>
      <w:r>
        <w:rPr>
          <w:rStyle w:val="210pt"/>
          <w:sz w:val="24"/>
          <w:szCs w:val="24"/>
        </w:rPr>
        <w:t xml:space="preserve">Ведение бухгалтерского учета. </w:t>
      </w:r>
    </w:p>
    <w:p w14:paraId="280D5840" w14:textId="77777777" w:rsidR="00BA4CB3" w:rsidRDefault="00BA4CB3">
      <w:pPr>
        <w:pStyle w:val="26"/>
        <w:spacing w:line="250" w:lineRule="exact"/>
        <w:jc w:val="both"/>
        <w:rPr>
          <w:rStyle w:val="210pt"/>
          <w:sz w:val="24"/>
          <w:szCs w:val="24"/>
        </w:rPr>
      </w:pPr>
    </w:p>
    <w:p w14:paraId="22FF46D9" w14:textId="77777777" w:rsidR="00BA4CB3" w:rsidRDefault="003E3FA4">
      <w:pPr>
        <w:pStyle w:val="26"/>
        <w:spacing w:line="250" w:lineRule="exact"/>
        <w:jc w:val="both"/>
      </w:pPr>
      <w:r>
        <w:rPr>
          <w:rStyle w:val="210pt"/>
          <w:sz w:val="24"/>
          <w:szCs w:val="24"/>
        </w:rPr>
        <w:t xml:space="preserve"> 1.  </w:t>
      </w:r>
      <w:r>
        <w:rPr>
          <w:rStyle w:val="25"/>
          <w:sz w:val="24"/>
          <w:szCs w:val="24"/>
        </w:rPr>
        <w:t>ТСЖ ведет бухгалтерский учет по упрощенной системе налогообложения. Ведение бухгалтерского учета подтвержд</w:t>
      </w:r>
      <w:r>
        <w:rPr>
          <w:rStyle w:val="25"/>
          <w:sz w:val="24"/>
          <w:szCs w:val="24"/>
        </w:rPr>
        <w:t xml:space="preserve">ено составляемыми формами отчетности и наличием бухгалтерских документов, а также электронной базой. </w:t>
      </w:r>
    </w:p>
    <w:p w14:paraId="364DC421" w14:textId="77777777" w:rsidR="00BA4CB3" w:rsidRDefault="003E3FA4">
      <w:pPr>
        <w:pStyle w:val="26"/>
        <w:spacing w:line="250" w:lineRule="exact"/>
        <w:jc w:val="both"/>
      </w:pPr>
      <w:r>
        <w:rPr>
          <w:rStyle w:val="25"/>
          <w:sz w:val="24"/>
          <w:szCs w:val="24"/>
        </w:rPr>
        <w:t xml:space="preserve">2.  ТСЖ осуществляет свою деятельность, используя два расчетных счета: в ПАО «Сбербанк России» г. Москва (для ведения основной уставной деятельности и </w:t>
      </w:r>
      <w:proofErr w:type="spellStart"/>
      <w:proofErr w:type="gramStart"/>
      <w:r>
        <w:rPr>
          <w:rStyle w:val="25"/>
          <w:sz w:val="24"/>
          <w:szCs w:val="24"/>
        </w:rPr>
        <w:t>спе</w:t>
      </w:r>
      <w:r>
        <w:rPr>
          <w:rStyle w:val="25"/>
          <w:sz w:val="24"/>
          <w:szCs w:val="24"/>
        </w:rPr>
        <w:t>ц.счет</w:t>
      </w:r>
      <w:proofErr w:type="spellEnd"/>
      <w:proofErr w:type="gramEnd"/>
      <w:r>
        <w:rPr>
          <w:rStyle w:val="25"/>
          <w:sz w:val="24"/>
          <w:szCs w:val="24"/>
        </w:rPr>
        <w:t xml:space="preserve"> для накопления средств на капитальный ремонт).</w:t>
      </w:r>
    </w:p>
    <w:p w14:paraId="606A02E6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3. Автоматизированы следующие операции: начисление зарплаты работникам по окладу; исчисление регламентированных законодательством налогов и взносов, облагаемой базой которых служит заработная плата рабо</w:t>
      </w:r>
      <w:r>
        <w:rPr>
          <w:rStyle w:val="25"/>
          <w:sz w:val="24"/>
          <w:szCs w:val="24"/>
        </w:rPr>
        <w:t>тников организаций; формирование соответствующих отчётов (по НДФЛ, налогам (взносам) с ФОТ), включая подготовку отчётности для системы персонифицированного учёта ПФР.</w:t>
      </w:r>
    </w:p>
    <w:p w14:paraId="5DFE1462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25"/>
          <w:sz w:val="24"/>
          <w:szCs w:val="24"/>
        </w:rPr>
        <w:t>Согласно Уставу и учетной политике ТСЖ поступающие средства классифицируются, как цел</w:t>
      </w:r>
      <w:r>
        <w:rPr>
          <w:rStyle w:val="25"/>
          <w:sz w:val="24"/>
          <w:szCs w:val="24"/>
        </w:rPr>
        <w:t xml:space="preserve">евые взносы, которые направляются на основную уставную деятельность. </w:t>
      </w:r>
    </w:p>
    <w:p w14:paraId="7760E3D7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5.  На конец проверяемого периода на основном расчетном счете ТСЖ на дату 31 марта 2024г находятся средства</w:t>
      </w:r>
      <w:r>
        <w:rPr>
          <w:rStyle w:val="25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2 638 344,80 рублей</w:t>
      </w:r>
    </w:p>
    <w:p w14:paraId="5B11B30E" w14:textId="77777777" w:rsidR="00BA4CB3" w:rsidRDefault="003E3FA4">
      <w:pPr>
        <w:pStyle w:val="26"/>
        <w:spacing w:line="230" w:lineRule="exact"/>
        <w:ind w:left="720"/>
        <w:jc w:val="both"/>
      </w:pPr>
      <w:r>
        <w:rPr>
          <w:rStyle w:val="25"/>
          <w:sz w:val="24"/>
          <w:szCs w:val="24"/>
        </w:rPr>
        <w:t>На счете капитального ремонта на дату 31 марта 2024 г.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/>
          <w:color w:val="1A1A1A"/>
          <w:sz w:val="23"/>
          <w:szCs w:val="23"/>
          <w:shd w:val="clear" w:color="auto" w:fill="FFFFFF"/>
        </w:rPr>
        <w:t xml:space="preserve">- </w:t>
      </w:r>
      <w:r>
        <w:rPr>
          <w:rFonts w:ascii="Helvetica" w:hAnsi="Helvetica"/>
          <w:b/>
          <w:bCs/>
          <w:color w:val="1A1A1A"/>
          <w:sz w:val="23"/>
          <w:szCs w:val="23"/>
          <w:shd w:val="clear" w:color="auto" w:fill="FFFFFF"/>
        </w:rPr>
        <w:t xml:space="preserve">31 004 481,39 </w:t>
      </w:r>
      <w:r>
        <w:rPr>
          <w:rFonts w:ascii="Calibri" w:hAnsi="Calibri"/>
          <w:b/>
          <w:bCs/>
          <w:color w:val="1A1A1A"/>
          <w:sz w:val="23"/>
          <w:szCs w:val="23"/>
          <w:shd w:val="clear" w:color="auto" w:fill="FFFFFF"/>
        </w:rPr>
        <w:t>руб.</w:t>
      </w:r>
      <w:r>
        <w:rPr>
          <w:rFonts w:ascii="Times New Roman" w:hAnsi="Times New Roman"/>
          <w:b/>
          <w:bCs/>
          <w:color w:val="FFFFFF"/>
          <w:sz w:val="26"/>
          <w:szCs w:val="26"/>
        </w:rPr>
        <w:t>31</w:t>
      </w:r>
      <w:r>
        <w:rPr>
          <w:rFonts w:ascii="Times New Roman" w:hAnsi="Times New Roman"/>
          <w:b/>
          <w:color w:val="FFFFFF"/>
          <w:sz w:val="26"/>
          <w:szCs w:val="26"/>
        </w:rPr>
        <w:t xml:space="preserve"> 001 520,52</w:t>
      </w:r>
      <w:r>
        <w:rPr>
          <w:rStyle w:val="25"/>
          <w:b/>
          <w:bCs/>
          <w:color w:val="FFFFFF"/>
          <w:sz w:val="26"/>
          <w:szCs w:val="26"/>
        </w:rPr>
        <w:t xml:space="preserve"> рублей</w:t>
      </w:r>
    </w:p>
    <w:p w14:paraId="510EF4FB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6.   Ведётся учёт расчётов с персоналом по заработной плате.</w:t>
      </w:r>
    </w:p>
    <w:p w14:paraId="45D9134E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 xml:space="preserve">7.   Расчёты по оплате труда произведены на основании фактически отработанного времени и дополнительно выполняемых работ по уборке и санитарному содержанию МКД. </w:t>
      </w:r>
    </w:p>
    <w:p w14:paraId="33C6742C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8.  Задолженность по заработной плате и взносам в социальные фонды по состоянию за проверяемый</w:t>
      </w:r>
      <w:r>
        <w:rPr>
          <w:rStyle w:val="25"/>
          <w:sz w:val="24"/>
          <w:szCs w:val="24"/>
        </w:rPr>
        <w:t xml:space="preserve"> период отсутствует. </w:t>
      </w:r>
    </w:p>
    <w:p w14:paraId="5F6397D8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 xml:space="preserve">7. Отчетность в проверяемом периоде сдается в налоговый орган (ИФНС № 7), государственные внебюджетные фонды и в органы государственной статистики в срок в соответствии с действующим законодательством. </w:t>
      </w:r>
    </w:p>
    <w:p w14:paraId="0AC52DD6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8.  Задолженность по налогам от</w:t>
      </w:r>
      <w:r>
        <w:rPr>
          <w:rStyle w:val="25"/>
          <w:sz w:val="24"/>
          <w:szCs w:val="24"/>
        </w:rPr>
        <w:t xml:space="preserve">сутствует. </w:t>
      </w:r>
    </w:p>
    <w:p w14:paraId="497C2197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9.  Оплата договорным организациям, ИП и пр. производится согласно выставленным счетам и условиям договоров.</w:t>
      </w:r>
    </w:p>
    <w:p w14:paraId="3A217632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10. Заработная плата начисляется согласно штатному расписанию, отработанному времени и переводится на карты сотрудников.</w:t>
      </w:r>
    </w:p>
    <w:p w14:paraId="30C03BEC" w14:textId="77777777" w:rsidR="00BA4CB3" w:rsidRDefault="003E3FA4">
      <w:pPr>
        <w:pStyle w:val="26"/>
        <w:spacing w:line="235" w:lineRule="exact"/>
        <w:jc w:val="both"/>
      </w:pPr>
      <w:r>
        <w:rPr>
          <w:rStyle w:val="25"/>
          <w:sz w:val="24"/>
          <w:szCs w:val="24"/>
        </w:rPr>
        <w:t>11.Все расчеты</w:t>
      </w:r>
      <w:r>
        <w:rPr>
          <w:rStyle w:val="25"/>
          <w:sz w:val="24"/>
          <w:szCs w:val="24"/>
        </w:rPr>
        <w:t xml:space="preserve"> производятся безналичным путем, на основании выставленных счетов в пределах сумм, указанных в договоре. </w:t>
      </w:r>
    </w:p>
    <w:p w14:paraId="59C7ABD1" w14:textId="77777777" w:rsidR="00BA4CB3" w:rsidRDefault="003E3FA4">
      <w:pPr>
        <w:pStyle w:val="26"/>
        <w:spacing w:line="235" w:lineRule="exact"/>
        <w:jc w:val="both"/>
      </w:pPr>
      <w:r>
        <w:rPr>
          <w:rStyle w:val="25"/>
          <w:sz w:val="24"/>
          <w:szCs w:val="24"/>
        </w:rPr>
        <w:t xml:space="preserve">12.Начисления коммунальных платежей осуществлялось строго по установленным тарифам на предоставление коммунальных услуг собственникам, утвержденные и </w:t>
      </w:r>
      <w:r>
        <w:rPr>
          <w:rStyle w:val="25"/>
          <w:sz w:val="24"/>
          <w:szCs w:val="24"/>
        </w:rPr>
        <w:t>введенные в действие нормативными актами РФ.</w:t>
      </w:r>
    </w:p>
    <w:p w14:paraId="5C175E05" w14:textId="77777777" w:rsidR="00BA4CB3" w:rsidRDefault="00BA4CB3">
      <w:pPr>
        <w:pStyle w:val="26"/>
        <w:spacing w:line="250" w:lineRule="exact"/>
        <w:jc w:val="both"/>
        <w:rPr>
          <w:rFonts w:ascii="Times New Roman" w:hAnsi="Times New Roman"/>
          <w:sz w:val="24"/>
          <w:szCs w:val="24"/>
        </w:rPr>
      </w:pPr>
    </w:p>
    <w:p w14:paraId="077ED1A4" w14:textId="77777777" w:rsidR="00BA4CB3" w:rsidRDefault="003E3FA4">
      <w:pPr>
        <w:pStyle w:val="26"/>
        <w:spacing w:line="230" w:lineRule="exact"/>
        <w:jc w:val="both"/>
      </w:pPr>
      <w:r>
        <w:rPr>
          <w:rStyle w:val="210pt"/>
          <w:sz w:val="24"/>
          <w:szCs w:val="24"/>
        </w:rPr>
        <w:t xml:space="preserve">Ведение кадрового учета. </w:t>
      </w:r>
    </w:p>
    <w:p w14:paraId="273D42AB" w14:textId="77777777" w:rsidR="00BA4CB3" w:rsidRDefault="00BA4CB3">
      <w:pPr>
        <w:pStyle w:val="26"/>
        <w:spacing w:line="230" w:lineRule="exact"/>
        <w:jc w:val="both"/>
        <w:rPr>
          <w:rStyle w:val="210pt"/>
          <w:sz w:val="24"/>
          <w:szCs w:val="24"/>
        </w:rPr>
      </w:pPr>
    </w:p>
    <w:p w14:paraId="74335589" w14:textId="77777777" w:rsidR="00BA4CB3" w:rsidRDefault="003E3FA4">
      <w:pPr>
        <w:pStyle w:val="26"/>
        <w:numPr>
          <w:ilvl w:val="0"/>
          <w:numId w:val="2"/>
        </w:numPr>
        <w:tabs>
          <w:tab w:val="left" w:pos="720"/>
        </w:tabs>
        <w:spacing w:line="230" w:lineRule="exact"/>
        <w:jc w:val="both"/>
      </w:pPr>
      <w:r>
        <w:rPr>
          <w:rStyle w:val="25"/>
          <w:sz w:val="24"/>
          <w:szCs w:val="24"/>
        </w:rPr>
        <w:t xml:space="preserve">Кадровый учет ведется в соответствии с законодательством. Со всеми сотрудниками заключены трудовые договора. </w:t>
      </w:r>
    </w:p>
    <w:p w14:paraId="70656A8B" w14:textId="77777777" w:rsidR="00BA4CB3" w:rsidRDefault="003E3FA4">
      <w:pPr>
        <w:pStyle w:val="26"/>
        <w:numPr>
          <w:ilvl w:val="0"/>
          <w:numId w:val="2"/>
        </w:numPr>
        <w:tabs>
          <w:tab w:val="left" w:pos="720"/>
        </w:tabs>
        <w:spacing w:line="230" w:lineRule="exact"/>
        <w:jc w:val="both"/>
      </w:pPr>
      <w:r>
        <w:rPr>
          <w:rStyle w:val="25"/>
          <w:sz w:val="24"/>
          <w:szCs w:val="24"/>
        </w:rPr>
        <w:t>Обеспечивается формирование унифицированных форм по трудовому законодательству.</w:t>
      </w:r>
    </w:p>
    <w:p w14:paraId="7DB54769" w14:textId="77777777" w:rsidR="00BA4CB3" w:rsidRDefault="00BA4CB3">
      <w:pPr>
        <w:pStyle w:val="26"/>
        <w:spacing w:line="230" w:lineRule="exact"/>
        <w:ind w:left="360"/>
        <w:jc w:val="both"/>
        <w:rPr>
          <w:rStyle w:val="25"/>
          <w:sz w:val="24"/>
          <w:szCs w:val="24"/>
        </w:rPr>
      </w:pPr>
    </w:p>
    <w:p w14:paraId="2E817D28" w14:textId="77777777" w:rsidR="00BA4CB3" w:rsidRDefault="003E3FA4">
      <w:pPr>
        <w:pStyle w:val="26"/>
        <w:spacing w:line="230" w:lineRule="exact"/>
        <w:jc w:val="both"/>
      </w:pPr>
      <w:r>
        <w:rPr>
          <w:rStyle w:val="210pt"/>
          <w:sz w:val="24"/>
          <w:szCs w:val="24"/>
        </w:rPr>
        <w:t xml:space="preserve">Анализ финансово-хозяйственной деятельности. </w:t>
      </w:r>
    </w:p>
    <w:p w14:paraId="38AB44AB" w14:textId="77777777" w:rsidR="00BA4CB3" w:rsidRDefault="00BA4CB3">
      <w:pPr>
        <w:pStyle w:val="26"/>
        <w:spacing w:line="230" w:lineRule="exact"/>
        <w:jc w:val="both"/>
        <w:rPr>
          <w:rStyle w:val="210pt"/>
          <w:sz w:val="24"/>
          <w:szCs w:val="24"/>
        </w:rPr>
      </w:pPr>
    </w:p>
    <w:p w14:paraId="1D76257F" w14:textId="77777777" w:rsidR="00BA4CB3" w:rsidRDefault="003E3FA4">
      <w:pPr>
        <w:pStyle w:val="26"/>
        <w:numPr>
          <w:ilvl w:val="0"/>
          <w:numId w:val="1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Основным источнико</w:t>
      </w:r>
      <w:r>
        <w:rPr>
          <w:rStyle w:val="25"/>
          <w:sz w:val="24"/>
          <w:szCs w:val="24"/>
        </w:rPr>
        <w:t xml:space="preserve">м поступления денежных средств ТСЖ за отчетный период является плата собственников помещений за содержание и текущий ремонт. Начисления размер платы </w:t>
      </w:r>
      <w:r>
        <w:rPr>
          <w:rStyle w:val="25"/>
          <w:sz w:val="24"/>
          <w:szCs w:val="24"/>
        </w:rPr>
        <w:lastRenderedPageBreak/>
        <w:t>производились в соответствии с Положением об определении долей собственников, утвержденного общим собранием</w:t>
      </w:r>
      <w:r>
        <w:rPr>
          <w:rStyle w:val="25"/>
          <w:sz w:val="24"/>
          <w:szCs w:val="24"/>
        </w:rPr>
        <w:t xml:space="preserve"> в 2001г., в соответствии с утвержденным размером платы и тарифами, утвержденными Правительством гор. Москвы</w:t>
      </w:r>
    </w:p>
    <w:p w14:paraId="588936A7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b/>
          <w:sz w:val="24"/>
          <w:szCs w:val="24"/>
        </w:rPr>
        <w:t xml:space="preserve">Соответствие произведенных расходов плану (сметы): </w:t>
      </w:r>
    </w:p>
    <w:p w14:paraId="23028361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Расходование средств расчетного счета производилось в соответствии с разделами сметы: на оплату коммунальных ресурсов на содержание мест общего пользования (электричество, отопление, ХВ и ГВ, водоотведение), на заработную плату персоналу, налоги и отчислен</w:t>
      </w:r>
      <w:r>
        <w:rPr>
          <w:rStyle w:val="25"/>
          <w:sz w:val="24"/>
          <w:szCs w:val="24"/>
        </w:rPr>
        <w:t>ия на ФОТ, обслуживание лифтового хозяйства, текущий ремонт  и содержание общедомовых коммуникаций и мест общего пользования, текущий ремонт ограждающих и конструктивных элементов (фасады, кровля, водостоки и др.), уборка регламентной зоны придомовой терри</w:t>
      </w:r>
      <w:r>
        <w:rPr>
          <w:rStyle w:val="25"/>
          <w:sz w:val="24"/>
          <w:szCs w:val="24"/>
        </w:rPr>
        <w:t>тории, подъездов, мест общего пользования, вывоз коммунальных отходов (ТКО и ТБО), обслуживание противопожарных систем, оплата по договору с ЧОП, приобретение расходных и хозяйственных материалов, инвентаря, почтовые и банковские расходы, госпошлины, оплат</w:t>
      </w:r>
      <w:r>
        <w:rPr>
          <w:rStyle w:val="25"/>
          <w:sz w:val="24"/>
          <w:szCs w:val="24"/>
        </w:rPr>
        <w:t>а услуг бухгалтерского и юридического сопровождения, обслуживание грязезащитных покрытий, обслуживание общедомовых узлов учета коммунальных ресурсов и др., дератизация и дезинфекция и др.</w:t>
      </w:r>
    </w:p>
    <w:p w14:paraId="3276EA7E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Закупка необходимых материалов для обслуживания здания осуществляетс</w:t>
      </w:r>
      <w:r>
        <w:rPr>
          <w:rStyle w:val="25"/>
          <w:sz w:val="24"/>
          <w:szCs w:val="24"/>
        </w:rPr>
        <w:t>я согласно утвержденной смете, ведутся журналы поступления и расходования материалов.</w:t>
      </w:r>
    </w:p>
    <w:p w14:paraId="170EBDD7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 xml:space="preserve">Проведенные расходы соответствуют разделам финансово-хозяйственной деятельности. </w:t>
      </w:r>
    </w:p>
    <w:p w14:paraId="2B95A152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Расходы, подтверждены документами: договоры, акты, счета и соответствуют смете Работы, п</w:t>
      </w:r>
      <w:r>
        <w:rPr>
          <w:rStyle w:val="25"/>
          <w:sz w:val="24"/>
          <w:szCs w:val="24"/>
        </w:rPr>
        <w:t>роизведенные за проверяемый период, соответствуют смете.</w:t>
      </w:r>
    </w:p>
    <w:p w14:paraId="265A93D1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Отмечен незначительный перерасход по некоторым статьям, связанный с повышением цен по инфляции, который восполнился в пределах сметы за счет экономии и частичного неиспользования средств в других раз</w:t>
      </w:r>
      <w:r>
        <w:rPr>
          <w:rStyle w:val="25"/>
          <w:sz w:val="24"/>
          <w:szCs w:val="24"/>
        </w:rPr>
        <w:t xml:space="preserve">делах сметы. </w:t>
      </w:r>
    </w:p>
    <w:p w14:paraId="7BE58846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Превышения фактического исполнения сметы над запланированным нет.</w:t>
      </w:r>
    </w:p>
    <w:p w14:paraId="2FA9CCFB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 xml:space="preserve">Расходование средств </w:t>
      </w:r>
      <w:proofErr w:type="spellStart"/>
      <w:proofErr w:type="gramStart"/>
      <w:r>
        <w:rPr>
          <w:rStyle w:val="25"/>
          <w:sz w:val="24"/>
          <w:szCs w:val="24"/>
        </w:rPr>
        <w:t>спец.счета</w:t>
      </w:r>
      <w:proofErr w:type="spellEnd"/>
      <w:proofErr w:type="gramEnd"/>
      <w:r>
        <w:rPr>
          <w:rStyle w:val="25"/>
          <w:sz w:val="24"/>
          <w:szCs w:val="24"/>
        </w:rPr>
        <w:t xml:space="preserve"> на капитальный ремонт в отчетном периоде не производилось. Для защиты накоплений спец. счета от инфляции Банком начислялись проценты на неснижае</w:t>
      </w:r>
      <w:r>
        <w:rPr>
          <w:rStyle w:val="25"/>
          <w:sz w:val="24"/>
          <w:szCs w:val="24"/>
        </w:rPr>
        <w:t>мый остаток.</w:t>
      </w:r>
    </w:p>
    <w:p w14:paraId="20299439" w14:textId="77777777" w:rsidR="00BA4CB3" w:rsidRDefault="00BA4CB3">
      <w:pPr>
        <w:pStyle w:val="34"/>
        <w:spacing w:line="245" w:lineRule="exact"/>
        <w:jc w:val="both"/>
        <w:rPr>
          <w:rStyle w:val="33"/>
          <w:sz w:val="24"/>
          <w:szCs w:val="24"/>
        </w:rPr>
      </w:pPr>
    </w:p>
    <w:p w14:paraId="76281CC8" w14:textId="77777777" w:rsidR="00BA4CB3" w:rsidRDefault="003E3FA4">
      <w:pPr>
        <w:pStyle w:val="34"/>
        <w:spacing w:line="245" w:lineRule="exact"/>
        <w:jc w:val="both"/>
      </w:pPr>
      <w:r>
        <w:rPr>
          <w:rStyle w:val="33"/>
          <w:b/>
          <w:sz w:val="24"/>
          <w:szCs w:val="24"/>
        </w:rPr>
        <w:t>Итоговые выводы Ревизионной комиссии.</w:t>
      </w:r>
    </w:p>
    <w:p w14:paraId="7BE508D5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1.  По результатам проверки комиссией подтверждается соответствие остатков на банковских счетах на конец предыдущей выписки и остатка на начало дня последующей выписки.</w:t>
      </w:r>
    </w:p>
    <w:p w14:paraId="1C90CE0A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2.  </w:t>
      </w:r>
      <w:r>
        <w:rPr>
          <w:rStyle w:val="25"/>
          <w:sz w:val="24"/>
          <w:szCs w:val="24"/>
        </w:rPr>
        <w:t>Начисления коммун</w:t>
      </w:r>
      <w:r>
        <w:rPr>
          <w:rStyle w:val="25"/>
          <w:sz w:val="24"/>
          <w:szCs w:val="24"/>
        </w:rPr>
        <w:t>альных платежей осуществлялось согласно смете и по тарифам утвержденных ПП г. Москвы и России.</w:t>
      </w:r>
    </w:p>
    <w:p w14:paraId="7A3D1671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3.  </w:t>
      </w:r>
      <w:r>
        <w:rPr>
          <w:rStyle w:val="25"/>
          <w:sz w:val="24"/>
          <w:szCs w:val="24"/>
        </w:rPr>
        <w:t>Обязательства по формированию фонда капитального ремонта выполняются в части офисов и квартир. Подземная автостоянка в фонд капитального ремонта по по</w:t>
      </w:r>
      <w:r>
        <w:rPr>
          <w:rStyle w:val="25"/>
          <w:sz w:val="24"/>
          <w:szCs w:val="24"/>
        </w:rPr>
        <w:t>-прежнему отчислений не делает.</w:t>
      </w:r>
    </w:p>
    <w:p w14:paraId="1492F1D4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4.  Счет капремонта пополняется благодаря грамотной политике бухгалтерии и правления, путем ежемесячного размещения средств здесь же в виде НСО. </w:t>
      </w:r>
    </w:p>
    <w:p w14:paraId="64540065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5.  Произведенные расходы соответствуют уставной деятельности.</w:t>
      </w:r>
    </w:p>
    <w:p w14:paraId="05A00D3E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</w:t>
      </w:r>
      <w:r>
        <w:rPr>
          <w:rStyle w:val="25"/>
          <w:sz w:val="24"/>
          <w:szCs w:val="24"/>
        </w:rPr>
        <w:t xml:space="preserve">       6. Комиссией отмечены самовольные подключения (самовольная врезка труб) к централизованным системам водоснабжения и водоотведения, воздуховодам некоторыми собственниками помещений. В результате чего происходит использование коммунальных услуг за сче</w:t>
      </w:r>
      <w:r>
        <w:rPr>
          <w:rStyle w:val="25"/>
          <w:sz w:val="24"/>
          <w:szCs w:val="24"/>
        </w:rPr>
        <w:t>т всех собственников и возникают серьезные технические нарушения в системе водо- и теплоснабжения. Выставленные штрафы, согласно ПП 354, поступили на расчетный счет ТСЖ.</w:t>
      </w:r>
    </w:p>
    <w:p w14:paraId="6828C23C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 7. В соответствии с прошлыми рекомендациями Ревизионной комиссии организованы </w:t>
      </w:r>
      <w:r>
        <w:rPr>
          <w:rStyle w:val="25"/>
          <w:sz w:val="24"/>
          <w:szCs w:val="24"/>
        </w:rPr>
        <w:t>проверки состояния установленных и введенных в эксплуатацию индивидуальных инженерных систем и индивидуальных приборов учета; проведены проверки достоверности представленных потребителями сведений о показаниях индивидуальных приборов учета.</w:t>
      </w:r>
    </w:p>
    <w:p w14:paraId="7EB07945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8. Бухга</w:t>
      </w:r>
      <w:r>
        <w:rPr>
          <w:rStyle w:val="25"/>
          <w:sz w:val="24"/>
          <w:szCs w:val="24"/>
        </w:rPr>
        <w:t>лтерский и налоговый учет в ТСЖ ведется в соответствии с законами и нормативными актами, действующими в настоящее время на территории РФ.</w:t>
      </w:r>
    </w:p>
    <w:p w14:paraId="53294779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9. Рекомендуется подготовить и провести собрание собственников по второму этапу замены лифтового оборудования –</w:t>
      </w:r>
      <w:r>
        <w:rPr>
          <w:rStyle w:val="25"/>
          <w:sz w:val="24"/>
          <w:szCs w:val="24"/>
        </w:rPr>
        <w:t xml:space="preserve"> грузовых лифтов</w:t>
      </w:r>
    </w:p>
    <w:p w14:paraId="71A7CD16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</w:t>
      </w:r>
      <w:r>
        <w:rPr>
          <w:rStyle w:val="25"/>
          <w:sz w:val="24"/>
          <w:szCs w:val="24"/>
        </w:rPr>
        <w:t>10. При формировании новой сметы обратить внимание на увеличение штатного расписания, с учетом необходимой индексации окладов, и в целях возможности укомплектования штата квалифицированными сотрудниками.</w:t>
      </w:r>
    </w:p>
    <w:p w14:paraId="4D73C6EB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 11. Комиссия рекомендует продолжить работу с</w:t>
      </w:r>
      <w:r>
        <w:rPr>
          <w:rStyle w:val="25"/>
          <w:sz w:val="24"/>
          <w:szCs w:val="24"/>
        </w:rPr>
        <w:t xml:space="preserve"> должниками.</w:t>
      </w:r>
    </w:p>
    <w:p w14:paraId="6DA2FE02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</w:t>
      </w:r>
    </w:p>
    <w:p w14:paraId="20F78E5C" w14:textId="77777777" w:rsidR="00BA4CB3" w:rsidRDefault="00BA4CB3">
      <w:pPr>
        <w:pStyle w:val="26"/>
        <w:spacing w:line="245" w:lineRule="exact"/>
        <w:ind w:left="180"/>
        <w:jc w:val="both"/>
        <w:rPr>
          <w:rStyle w:val="25"/>
          <w:sz w:val="24"/>
          <w:szCs w:val="24"/>
        </w:rPr>
      </w:pPr>
    </w:p>
    <w:p w14:paraId="541D2E2C" w14:textId="77777777" w:rsidR="00BA4CB3" w:rsidRDefault="003E3FA4">
      <w:pPr>
        <w:pStyle w:val="26"/>
        <w:spacing w:line="245" w:lineRule="exact"/>
        <w:ind w:left="180"/>
        <w:jc w:val="both"/>
      </w:pPr>
      <w:r>
        <w:rPr>
          <w:rStyle w:val="25"/>
          <w:sz w:val="24"/>
          <w:szCs w:val="24"/>
        </w:rPr>
        <w:t>Ревизионная комиссия.</w:t>
      </w:r>
    </w:p>
    <w:p w14:paraId="7E812426" w14:textId="77777777" w:rsidR="00BA4CB3" w:rsidRDefault="00BA4CB3">
      <w:pPr>
        <w:framePr w:w="1354" w:h="595" w:hRule="exact" w:hSpace="3091" w:wrap="notBeside" w:vAnchor="text" w:hAnchor="margin" w:x="5395"/>
        <w:rPr>
          <w:color w:val="auto"/>
          <w:sz w:val="2"/>
          <w:szCs w:val="2"/>
        </w:rPr>
      </w:pPr>
    </w:p>
    <w:p w14:paraId="3B54C1A9" w14:textId="77777777" w:rsidR="00BA4CB3" w:rsidRDefault="00BA4CB3">
      <w:pPr>
        <w:pStyle w:val="afd"/>
        <w:framePr w:w="2189" w:h="253" w:hRule="exact" w:hSpace="3091" w:wrap="notBeside" w:vAnchor="text" w:hAnchor="margin" w:x="3091" w:y="246"/>
        <w:spacing w:line="190" w:lineRule="exact"/>
        <w:jc w:val="left"/>
        <w:rPr>
          <w:rFonts w:ascii="Times New Roman" w:hAnsi="Times New Roman"/>
        </w:rPr>
      </w:pPr>
    </w:p>
    <w:p w14:paraId="3D9653FA" w14:textId="77777777" w:rsidR="00BA4CB3" w:rsidRDefault="00BA4CB3">
      <w:pPr>
        <w:rPr>
          <w:color w:val="auto"/>
          <w:sz w:val="2"/>
          <w:szCs w:val="2"/>
        </w:rPr>
      </w:pPr>
    </w:p>
    <w:p w14:paraId="4B2060A8" w14:textId="77777777" w:rsidR="00BA4CB3" w:rsidRDefault="00BA4CB3"/>
    <w:sectPr w:rsidR="00BA4CB3">
      <w:pgSz w:w="11906" w:h="16838"/>
      <w:pgMar w:top="284" w:right="340" w:bottom="284" w:left="794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93884" w14:textId="77777777" w:rsidR="003E3FA4" w:rsidRDefault="003E3FA4">
      <w:pPr>
        <w:pStyle w:val="13"/>
        <w:spacing w:after="0" w:line="240" w:lineRule="auto"/>
      </w:pPr>
      <w:r>
        <w:separator/>
      </w:r>
    </w:p>
  </w:endnote>
  <w:endnote w:type="continuationSeparator" w:id="0">
    <w:p w14:paraId="7A1F310D" w14:textId="77777777" w:rsidR="003E3FA4" w:rsidRDefault="003E3FA4">
      <w:pPr>
        <w:pStyle w:val="1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F9A16" w14:textId="77777777" w:rsidR="003E3FA4" w:rsidRDefault="003E3FA4">
      <w:pPr>
        <w:pStyle w:val="13"/>
        <w:spacing w:after="0" w:line="240" w:lineRule="auto"/>
      </w:pPr>
      <w:r>
        <w:separator/>
      </w:r>
    </w:p>
  </w:footnote>
  <w:footnote w:type="continuationSeparator" w:id="0">
    <w:p w14:paraId="0E017871" w14:textId="77777777" w:rsidR="003E3FA4" w:rsidRDefault="003E3FA4">
      <w:pPr>
        <w:pStyle w:val="1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911"/>
    <w:multiLevelType w:val="hybridMultilevel"/>
    <w:tmpl w:val="C8B2D81C"/>
    <w:lvl w:ilvl="0" w:tplc="3670E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</w:rPr>
    </w:lvl>
    <w:lvl w:ilvl="1" w:tplc="FA8C6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ACB8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4C0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EAC8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F82C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A27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6091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42BD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138E0"/>
    <w:multiLevelType w:val="hybridMultilevel"/>
    <w:tmpl w:val="5A74A50C"/>
    <w:lvl w:ilvl="0" w:tplc="6A4A34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2984A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2691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26B3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86D3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58C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A66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32A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5A9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8717E6"/>
    <w:multiLevelType w:val="hybridMultilevel"/>
    <w:tmpl w:val="F97C9964"/>
    <w:lvl w:ilvl="0" w:tplc="1D9C6C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sz w:val="20"/>
      </w:rPr>
    </w:lvl>
    <w:lvl w:ilvl="1" w:tplc="178468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766D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8CA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3CC8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E065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58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0CC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4A33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191555"/>
    <w:multiLevelType w:val="hybridMultilevel"/>
    <w:tmpl w:val="34F648AC"/>
    <w:lvl w:ilvl="0" w:tplc="6E68280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sz w:val="20"/>
      </w:rPr>
    </w:lvl>
    <w:lvl w:ilvl="1" w:tplc="1B0E4F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7A16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FE0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90F6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62D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BE6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96E6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8ED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B3"/>
    <w:rsid w:val="003E3FA4"/>
    <w:rsid w:val="009039ED"/>
    <w:rsid w:val="00B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B53E"/>
  <w15:docId w15:val="{9E088682-7734-497C-956A-5CDEA284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rFonts w:ascii="Times New Roman" w:hAnsi="Times New Roman" w:cs="Times New Roman"/>
      <w:color w:val="0066CC"/>
      <w:sz w:val="24"/>
      <w:szCs w:val="24"/>
      <w:u w:val="single"/>
    </w:rPr>
  </w:style>
  <w:style w:type="character" w:customStyle="1" w:styleId="Exact">
    <w:name w:val="Подпись к картинке Exact"/>
    <w:basedOn w:val="a0"/>
    <w:qFormat/>
    <w:rPr>
      <w:rFonts w:ascii="Times New Roman" w:hAnsi="Times New Roman" w:cs="Times New Roman"/>
      <w:color w:val="000000"/>
      <w:sz w:val="19"/>
      <w:szCs w:val="19"/>
      <w:u w:val="none"/>
    </w:rPr>
  </w:style>
  <w:style w:type="character" w:customStyle="1" w:styleId="33">
    <w:name w:val="Основной текст (3)_"/>
    <w:basedOn w:val="a0"/>
    <w:qFormat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Основной текст (2)_"/>
    <w:basedOn w:val="a0"/>
    <w:qFormat/>
    <w:rPr>
      <w:rFonts w:ascii="Times New Roman" w:hAnsi="Times New Roman" w:cs="Times New Roman"/>
      <w:color w:val="000000"/>
      <w:sz w:val="19"/>
      <w:szCs w:val="19"/>
      <w:u w:val="none"/>
    </w:rPr>
  </w:style>
  <w:style w:type="character" w:customStyle="1" w:styleId="210pt">
    <w:name w:val="Основной текст (2) + 10 pt;Полужирный"/>
    <w:basedOn w:val="25"/>
    <w:qFormat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af9">
    <w:name w:val="Подпись к картинке_"/>
    <w:basedOn w:val="a0"/>
    <w:qFormat/>
    <w:rPr>
      <w:rFonts w:ascii="Times New Roman" w:hAnsi="Times New Roman" w:cs="Times New Roman"/>
      <w:color w:val="000000"/>
      <w:sz w:val="19"/>
      <w:szCs w:val="19"/>
      <w:u w:val="non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pPr>
      <w:spacing w:after="160" w:line="256" w:lineRule="auto"/>
    </w:pPr>
    <w:rPr>
      <w:rFonts w:ascii="Arial Unicode MS" w:eastAsia="Arial Unicode MS" w:hAnsi="Arial Unicode MS" w:cs="Arial Unicode MS"/>
      <w:sz w:val="22"/>
      <w:szCs w:val="22"/>
      <w:lang w:val="ru-RU" w:eastAsia="ru-RU" w:bidi="ar-SA"/>
    </w:rPr>
  </w:style>
  <w:style w:type="paragraph" w:customStyle="1" w:styleId="afd">
    <w:name w:val="Подпись к картинке"/>
    <w:basedOn w:val="a"/>
    <w:qFormat/>
    <w:pPr>
      <w:shd w:val="clear" w:color="auto" w:fill="FFFFFF"/>
      <w:spacing w:line="254" w:lineRule="exact"/>
      <w:jc w:val="right"/>
    </w:pPr>
    <w:rPr>
      <w:rFonts w:cs="Times New Roman"/>
      <w:sz w:val="19"/>
      <w:szCs w:val="19"/>
    </w:rPr>
  </w:style>
  <w:style w:type="paragraph" w:customStyle="1" w:styleId="34">
    <w:name w:val="Основной текст (3)"/>
    <w:basedOn w:val="a"/>
    <w:qFormat/>
    <w:pPr>
      <w:shd w:val="clear" w:color="auto" w:fill="FFFFFF"/>
      <w:spacing w:line="240" w:lineRule="exact"/>
      <w:jc w:val="center"/>
    </w:pPr>
    <w:rPr>
      <w:rFonts w:cs="Times New Roman"/>
      <w:b/>
      <w:bCs/>
      <w:sz w:val="20"/>
      <w:szCs w:val="20"/>
    </w:rPr>
  </w:style>
  <w:style w:type="paragraph" w:customStyle="1" w:styleId="26">
    <w:name w:val="Основной текст (2)"/>
    <w:basedOn w:val="a"/>
    <w:qFormat/>
    <w:pPr>
      <w:shd w:val="clear" w:color="auto" w:fill="FFFFFF"/>
      <w:spacing w:line="240" w:lineRule="exact"/>
    </w:pPr>
    <w:rPr>
      <w:rFonts w:cs="Times New Roman"/>
      <w:sz w:val="19"/>
      <w:szCs w:val="19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+ОТЧЕТ Ревизионной комиссии ТСЖ «Краснопролетарская» с июля 2023 по апрель 2021 года</dc:title>
  <dc:subject/>
  <dc:creator>Elena</dc:creator>
  <dc:description/>
  <cp:lastModifiedBy>User</cp:lastModifiedBy>
  <cp:revision>2</cp:revision>
  <dcterms:created xsi:type="dcterms:W3CDTF">2024-04-03T13:28:00Z</dcterms:created>
  <dcterms:modified xsi:type="dcterms:W3CDTF">2024-04-03T13:28:00Z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eunisova@tsg-rf.ru</vt:lpwstr>
  </property>
</Properties>
</file>