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0ECB7" w14:textId="28944310" w:rsidR="001208ED" w:rsidRDefault="004A7711">
      <w:pPr>
        <w:ind w:left="-1276" w:right="141"/>
      </w:pPr>
      <w:r w:rsidRPr="001208ED">
        <w:t xml:space="preserve">                        </w:t>
      </w:r>
    </w:p>
    <w:p w14:paraId="1E29DE06" w14:textId="37F5E4C5" w:rsidR="003B53E2" w:rsidRDefault="001208ED" w:rsidP="001208ED">
      <w:pPr>
        <w:tabs>
          <w:tab w:val="left" w:pos="9356"/>
        </w:tabs>
        <w:ind w:left="-851" w:right="283"/>
        <w:rPr>
          <w:b/>
        </w:rPr>
      </w:pPr>
      <w:r>
        <w:t xml:space="preserve">                  </w:t>
      </w:r>
      <w:r w:rsidR="004A7711" w:rsidRPr="001208ED">
        <w:t xml:space="preserve">   </w:t>
      </w:r>
      <w:proofErr w:type="gramStart"/>
      <w:r w:rsidR="004A7711" w:rsidRPr="001208ED">
        <w:rPr>
          <w:b/>
        </w:rPr>
        <w:t>Отчет  Правления</w:t>
      </w:r>
      <w:proofErr w:type="gramEnd"/>
      <w:r w:rsidR="004A7711" w:rsidRPr="001208ED">
        <w:rPr>
          <w:b/>
        </w:rPr>
        <w:t xml:space="preserve"> ТСЖ «</w:t>
      </w:r>
      <w:proofErr w:type="spellStart"/>
      <w:r w:rsidR="004A7711" w:rsidRPr="001208ED">
        <w:rPr>
          <w:b/>
        </w:rPr>
        <w:t>Краснопролетарская</w:t>
      </w:r>
      <w:proofErr w:type="spellEnd"/>
      <w:r w:rsidR="004A7711" w:rsidRPr="001208ED">
        <w:rPr>
          <w:b/>
        </w:rPr>
        <w:t>» за 2022-2023г.г.</w:t>
      </w:r>
    </w:p>
    <w:p w14:paraId="6C37A8E2" w14:textId="77777777" w:rsidR="001208ED" w:rsidRPr="001208ED" w:rsidRDefault="001208ED" w:rsidP="001208ED">
      <w:pPr>
        <w:tabs>
          <w:tab w:val="left" w:pos="9356"/>
        </w:tabs>
        <w:ind w:left="-851" w:right="283"/>
        <w:rPr>
          <w:b/>
        </w:rPr>
      </w:pPr>
    </w:p>
    <w:p w14:paraId="2EFC1169" w14:textId="0E6E2233" w:rsidR="003B53E2" w:rsidRPr="001208ED" w:rsidRDefault="004A7711" w:rsidP="001208ED">
      <w:pPr>
        <w:tabs>
          <w:tab w:val="left" w:pos="9356"/>
        </w:tabs>
        <w:spacing w:line="240" w:lineRule="auto"/>
        <w:ind w:left="-851" w:right="283"/>
        <w:jc w:val="both"/>
        <w:rPr>
          <w:rFonts w:eastAsia="Calibri"/>
          <w:lang w:eastAsia="en-US"/>
        </w:rPr>
      </w:pPr>
      <w:r w:rsidRPr="001208ED">
        <w:t xml:space="preserve"> В 2022-23г.г. затраты собственников на обслуживание общего имущества в месяц в расчете на 1 </w:t>
      </w:r>
      <w:proofErr w:type="spellStart"/>
      <w:proofErr w:type="gramStart"/>
      <w:r w:rsidRPr="001208ED">
        <w:t>кв.м</w:t>
      </w:r>
      <w:proofErr w:type="spellEnd"/>
      <w:proofErr w:type="gramEnd"/>
      <w:r w:rsidRPr="001208ED">
        <w:t xml:space="preserve"> составили 63р. 24 коп. без учета затрат на индивидуальное использование электроэнергии, отопления, горячего и холодного водоснабжения и водоотведения. Отчисления в фонд капитального </w:t>
      </w:r>
      <w:r w:rsidR="00393E72" w:rsidRPr="001208ED">
        <w:t xml:space="preserve">ремонта производились согласно </w:t>
      </w:r>
      <w:r w:rsidR="00393E72" w:rsidRPr="001208ED">
        <w:rPr>
          <w:rFonts w:ascii="Arial" w:hAnsi="Arial" w:cs="Arial"/>
          <w:color w:val="444444"/>
        </w:rPr>
        <w:t>ПП</w:t>
      </w:r>
      <w:r w:rsidR="00393E72" w:rsidRPr="001208ED">
        <w:t xml:space="preserve"> Москвы</w:t>
      </w:r>
      <w:r w:rsidR="00393E72" w:rsidRPr="001208ED">
        <w:rPr>
          <w:rFonts w:ascii="Arial" w:hAnsi="Arial" w:cs="Arial"/>
          <w:color w:val="444444"/>
        </w:rPr>
        <w:t xml:space="preserve">. </w:t>
      </w:r>
      <w:r w:rsidRPr="001208ED">
        <w:t>Оплата ресурсов производилась по общедомовым и общеквартирным приборам учета, на основании установленных ресурсоснабжающими организациями г. Москвы тарифов, по фактически выставленным счетам, и в соответствии с П</w:t>
      </w:r>
      <w:r w:rsidR="00086DB4" w:rsidRPr="001208ED">
        <w:t xml:space="preserve">П </w:t>
      </w:r>
      <w:r w:rsidRPr="001208ED">
        <w:t>РФ № 354</w:t>
      </w:r>
      <w:r w:rsidR="008B5D90" w:rsidRPr="001208ED">
        <w:t xml:space="preserve"> и </w:t>
      </w:r>
      <w:r w:rsidR="00086DB4" w:rsidRPr="001208ED">
        <w:t xml:space="preserve">№ </w:t>
      </w:r>
      <w:r w:rsidR="008B5D90" w:rsidRPr="001208ED">
        <w:t>306</w:t>
      </w:r>
      <w:r w:rsidRPr="001208ED">
        <w:t>.</w:t>
      </w:r>
      <w:r w:rsidRPr="001208ED">
        <w:rPr>
          <w:rFonts w:eastAsia="Calibri"/>
          <w:lang w:eastAsia="en-US"/>
        </w:rPr>
        <w:t xml:space="preserve">  Расчет платы за жилищно-коммунальные услуги производился исходя из площади помещений, </w:t>
      </w:r>
      <w:r w:rsidR="008B5D90" w:rsidRPr="001208ED">
        <w:rPr>
          <w:rFonts w:eastAsia="Calibri"/>
          <w:lang w:eastAsia="en-US"/>
        </w:rPr>
        <w:t xml:space="preserve">согласно натурным </w:t>
      </w:r>
      <w:r w:rsidRPr="001208ED">
        <w:rPr>
          <w:rFonts w:eastAsia="Calibri"/>
          <w:lang w:eastAsia="en-US"/>
        </w:rPr>
        <w:t xml:space="preserve">обмерам БТИ, переданным </w:t>
      </w:r>
      <w:r w:rsidR="00393E72" w:rsidRPr="001208ED">
        <w:rPr>
          <w:rFonts w:eastAsia="Calibri"/>
          <w:lang w:eastAsia="en-US"/>
        </w:rPr>
        <w:t>з</w:t>
      </w:r>
      <w:r w:rsidRPr="001208ED">
        <w:rPr>
          <w:rFonts w:eastAsia="Calibri"/>
          <w:lang w:eastAsia="en-US"/>
        </w:rPr>
        <w:t>астройщиком при сдаче многоквартирного дома в эксплуатацию. Данная площадь указана в платежных документах, предъявляемых собственникам к оплате. При расчете размера платы учитывается действующее ПОЛОЖЕНИЕ об определении долей собственников в зависимости от назначения помещений, принятое в 2001 г. собранием собственников помещений многоквартирного дома.</w:t>
      </w:r>
    </w:p>
    <w:p w14:paraId="5B04336E" w14:textId="4AF9BBD3" w:rsidR="003B53E2" w:rsidRPr="001208ED" w:rsidRDefault="004A7711" w:rsidP="001208ED">
      <w:pPr>
        <w:tabs>
          <w:tab w:val="left" w:pos="9356"/>
        </w:tabs>
        <w:ind w:left="-851" w:right="283"/>
        <w:jc w:val="both"/>
      </w:pPr>
      <w:r w:rsidRPr="001208ED">
        <w:t xml:space="preserve">    В течение всего отчетного периода уборка придомовой территории производится городскими службами, за </w:t>
      </w:r>
      <w:r w:rsidR="005A53CE" w:rsidRPr="001208ED">
        <w:t>исключением зоны</w:t>
      </w:r>
      <w:r w:rsidRPr="001208ED">
        <w:t>, прилегающей к фасаду дома, уход за которой осуществляют работники ТСЖ. В течение зимнего</w:t>
      </w:r>
      <w:r w:rsidR="006C5463" w:rsidRPr="001208ED">
        <w:t xml:space="preserve"> </w:t>
      </w:r>
      <w:r w:rsidRPr="001208ED">
        <w:t>периода</w:t>
      </w:r>
      <w:r w:rsidR="006C5463" w:rsidRPr="001208ED">
        <w:t xml:space="preserve"> 22-23 </w:t>
      </w:r>
      <w:proofErr w:type="spellStart"/>
      <w:r w:rsidR="006C5463" w:rsidRPr="001208ED">
        <w:t>г.г</w:t>
      </w:r>
      <w:proofErr w:type="spellEnd"/>
      <w:r w:rsidR="006C5463" w:rsidRPr="001208ED">
        <w:t>.,</w:t>
      </w:r>
      <w:r w:rsidRPr="001208ED">
        <w:t xml:space="preserve"> со стороны городских служб наблюда</w:t>
      </w:r>
      <w:r w:rsidR="008B5D90" w:rsidRPr="001208ED">
        <w:t>лись</w:t>
      </w:r>
      <w:r w:rsidRPr="001208ED">
        <w:t xml:space="preserve"> сбои при вывозе и уборке снега, которые</w:t>
      </w:r>
      <w:r w:rsidR="00C41F88">
        <w:t xml:space="preserve"> решались</w:t>
      </w:r>
      <w:r w:rsidRPr="001208ED">
        <w:t xml:space="preserve"> только благодаря настойчивому взаимодействию ТСЖ с порталом НАШ ГОРОД</w:t>
      </w:r>
      <w:r w:rsidR="006C5463" w:rsidRPr="001208ED">
        <w:t xml:space="preserve"> и прочими административными органами власти</w:t>
      </w:r>
      <w:r w:rsidRPr="001208ED">
        <w:t>.</w:t>
      </w:r>
    </w:p>
    <w:p w14:paraId="4B35DF59" w14:textId="7847DF6D" w:rsidR="003B53E2" w:rsidRPr="001208ED" w:rsidRDefault="004A7711" w:rsidP="001208ED">
      <w:pPr>
        <w:tabs>
          <w:tab w:val="left" w:pos="9356"/>
        </w:tabs>
        <w:ind w:left="-851" w:right="283"/>
        <w:jc w:val="both"/>
      </w:pPr>
      <w:r w:rsidRPr="001208ED">
        <w:t xml:space="preserve">   </w:t>
      </w:r>
      <w:r w:rsidR="00086DB4" w:rsidRPr="001208ED">
        <w:t xml:space="preserve"> </w:t>
      </w:r>
      <w:r w:rsidRPr="001208ED">
        <w:t>За прошедший год технической службой ТСЖ провод</w:t>
      </w:r>
      <w:r w:rsidR="00C41F88">
        <w:t>ились</w:t>
      </w:r>
      <w:r w:rsidRPr="001208ED">
        <w:t xml:space="preserve"> своевременные</w:t>
      </w:r>
      <w:r w:rsidR="003F5C8C">
        <w:t xml:space="preserve"> </w:t>
      </w:r>
      <w:r w:rsidRPr="001208ED">
        <w:t xml:space="preserve">работы по техническому обслуживанию инженерных систем многоквартирного </w:t>
      </w:r>
      <w:r w:rsidR="003F5C8C" w:rsidRPr="001208ED">
        <w:t>дома</w:t>
      </w:r>
      <w:r w:rsidR="003F5C8C">
        <w:t>, было</w:t>
      </w:r>
      <w:r w:rsidRPr="001208ED">
        <w:t xml:space="preserve"> выполнено</w:t>
      </w:r>
      <w:r w:rsidR="00B04D8E" w:rsidRPr="001208ED">
        <w:t xml:space="preserve"> 3163</w:t>
      </w:r>
      <w:r w:rsidRPr="001208ED">
        <w:t xml:space="preserve"> заяв</w:t>
      </w:r>
      <w:r w:rsidR="00B04D8E" w:rsidRPr="001208ED">
        <w:t>ки.</w:t>
      </w:r>
      <w:r w:rsidRPr="001208ED">
        <w:t xml:space="preserve"> Из них по сантехническим работам - 1</w:t>
      </w:r>
      <w:r w:rsidR="00B04D8E" w:rsidRPr="001208ED">
        <w:t>484</w:t>
      </w:r>
      <w:r w:rsidRPr="001208ED">
        <w:t xml:space="preserve"> заяв</w:t>
      </w:r>
      <w:r w:rsidR="00B04D8E" w:rsidRPr="001208ED">
        <w:t>ки</w:t>
      </w:r>
      <w:r w:rsidRPr="001208ED">
        <w:t>, электрики -1</w:t>
      </w:r>
      <w:r w:rsidR="00B04D8E" w:rsidRPr="001208ED">
        <w:t>090</w:t>
      </w:r>
      <w:r w:rsidRPr="001208ED">
        <w:t xml:space="preserve"> заявок, прочие –</w:t>
      </w:r>
      <w:r w:rsidR="00B04D8E" w:rsidRPr="001208ED">
        <w:t>589</w:t>
      </w:r>
      <w:r w:rsidRPr="001208ED">
        <w:t xml:space="preserve"> заявок. </w:t>
      </w:r>
      <w:r w:rsidR="00DA4A56" w:rsidRPr="001208ED">
        <w:t>При авариях производится замена магистральных и стояковых труб, запорной арматуры, труб водоотведения жилой и нежилой зон.</w:t>
      </w:r>
    </w:p>
    <w:p w14:paraId="6CC631BF" w14:textId="5A936064" w:rsidR="003B53E2" w:rsidRPr="001208ED" w:rsidRDefault="004A7711" w:rsidP="001208ED">
      <w:pPr>
        <w:tabs>
          <w:tab w:val="left" w:pos="9356"/>
        </w:tabs>
        <w:ind w:left="-851" w:right="283"/>
        <w:jc w:val="both"/>
      </w:pPr>
      <w:r w:rsidRPr="001208ED">
        <w:t xml:space="preserve">  </w:t>
      </w:r>
      <w:r w:rsidRPr="001208ED">
        <w:rPr>
          <w:color w:val="FF3333"/>
        </w:rPr>
        <w:t xml:space="preserve"> </w:t>
      </w:r>
      <w:r w:rsidRPr="001208ED">
        <w:t xml:space="preserve"> В целом все инженерные и конструктивные системы дома находятся в удовлетворительном состоянии и работают в штатном режиме.</w:t>
      </w:r>
    </w:p>
    <w:p w14:paraId="0A6F531E" w14:textId="028C3FF2" w:rsidR="003B53E2" w:rsidRPr="001208ED" w:rsidRDefault="0031141A" w:rsidP="001208ED">
      <w:pPr>
        <w:tabs>
          <w:tab w:val="left" w:pos="9356"/>
        </w:tabs>
        <w:ind w:left="-851" w:right="283"/>
        <w:jc w:val="both"/>
      </w:pPr>
      <w:r w:rsidRPr="001208ED">
        <w:t xml:space="preserve">    </w:t>
      </w:r>
      <w:r w:rsidR="004A7711" w:rsidRPr="001208ED">
        <w:t>С февраля 2023 года техническая служба ТСЖ, руководствуясь  п. 32 Правил предоставления коммунальных услуг (ПП-354), осуществляет последовательный осмотр квартир для проверки технического состояния общедомового оборудования, в т.ч. коробов, запорной арматуры; и снятия контрольных показаний приборов учета.</w:t>
      </w:r>
      <w:r w:rsidR="004A7711" w:rsidRPr="001208ED">
        <w:rPr>
          <w:rStyle w:val="af9"/>
          <w:sz w:val="24"/>
          <w:szCs w:val="24"/>
        </w:rPr>
        <w:t xml:space="preserve"> </w:t>
      </w:r>
      <w:r w:rsidR="004A7711" w:rsidRPr="001208ED">
        <w:rPr>
          <w:rStyle w:val="normaltextrun"/>
        </w:rPr>
        <w:t xml:space="preserve">Указанная работа производится работниками ТСЖ в целях выявления не только проблемных участков трубопроводов, проверки состояния запорной арматуры и снятия контрольных показаний приборов учета воды и тепла, но также  обнаружения и пресечения  незаконных индивидуальных подключений к внутридомовым инженерным системам, нарушающим проектное </w:t>
      </w:r>
      <w:proofErr w:type="spellStart"/>
      <w:r w:rsidR="004A7711" w:rsidRPr="001208ED">
        <w:t>ресурсоснабжение</w:t>
      </w:r>
      <w:proofErr w:type="spellEnd"/>
      <w:r w:rsidR="004A7711" w:rsidRPr="001208ED">
        <w:t xml:space="preserve"> общего имущества и  являющихся, по сути, хищением коммунального ресурса,  оплачиваемого остальными собственниками помещений из средств содержания общего имущества.  </w:t>
      </w:r>
      <w:r w:rsidR="00DA4A56" w:rsidRPr="001208ED">
        <w:t xml:space="preserve">Это ведет к дополнительным затратам по оплате отопления, воды, электроэнергии за счет общей сметы. </w:t>
      </w:r>
      <w:r w:rsidR="004A7711" w:rsidRPr="001208ED">
        <w:t>В связи с проведением указанных регламентных работ напоминаем, что собственники помещений обязаны обеспечивать беспрепятственный доступ уполномоченных работников ТСЖ к общедомовому оборудованию</w:t>
      </w:r>
      <w:r w:rsidR="00DA4A56" w:rsidRPr="001208ED">
        <w:t>,</w:t>
      </w:r>
      <w:r w:rsidR="004A7711" w:rsidRPr="001208ED">
        <w:t xml:space="preserve"> ко всем техническим коробам для их осмотра в каждом помещении. При отказе в допуске в помещения или обнаружении незаконных подключений к внутридомовым инженерным системам, расчет бухгалтерией ТСЖ производится путем начисления платы за коммунальные услуги в порядке, установленном для таких случаев по нормативам и с повышающим коэффициентом, согласно законодательству</w:t>
      </w:r>
      <w:r w:rsidR="00DA4A56" w:rsidRPr="001208ED">
        <w:t>, начисленные суммы возвращаются на расчетный счет ТСЖ.</w:t>
      </w:r>
    </w:p>
    <w:p w14:paraId="6BD45A92" w14:textId="4717A246" w:rsidR="003B53E2" w:rsidRPr="001208ED" w:rsidRDefault="004A7711" w:rsidP="001208ED">
      <w:pPr>
        <w:tabs>
          <w:tab w:val="left" w:pos="9356"/>
        </w:tabs>
        <w:ind w:left="-851" w:right="283"/>
        <w:jc w:val="both"/>
      </w:pPr>
      <w:r w:rsidRPr="001208ED">
        <w:t xml:space="preserve">       Обязанностью владельцев помещений является производить своевременное тестирование/замену приборов учета находящихся в собственности, нести ответственность за работу этого оборудования и соблюдение проектных условий его эксплуатации, поскольку оно установлено в зоне   индивидуальной ответственности, ежемесячно передавать  показания приборов учета </w:t>
      </w:r>
      <w:r w:rsidR="005A53CE" w:rsidRPr="001208ED">
        <w:t xml:space="preserve">с 15 по </w:t>
      </w:r>
      <w:r w:rsidRPr="001208ED">
        <w:t xml:space="preserve"> 25 числ</w:t>
      </w:r>
      <w:r w:rsidR="005A53CE" w:rsidRPr="001208ED">
        <w:t xml:space="preserve">о текущего месяца для корректного начисления </w:t>
      </w:r>
      <w:r w:rsidR="00975AF4" w:rsidRPr="001208ED">
        <w:t xml:space="preserve">потребленных </w:t>
      </w:r>
      <w:r w:rsidR="005A53CE" w:rsidRPr="001208ED">
        <w:t>ресурсов, раз в полгода/год предоставлять сотрудникам</w:t>
      </w:r>
      <w:r w:rsidR="00975AF4" w:rsidRPr="001208ED">
        <w:t xml:space="preserve"> ТСЖ проверять правильность сданных показаний и работу п/у.</w:t>
      </w:r>
      <w:r w:rsidRPr="001208ED">
        <w:t xml:space="preserve"> </w:t>
      </w:r>
    </w:p>
    <w:p w14:paraId="3436E282" w14:textId="06D2073C" w:rsidR="001208ED" w:rsidRDefault="004A7711" w:rsidP="001208ED">
      <w:pPr>
        <w:tabs>
          <w:tab w:val="left" w:pos="9356"/>
        </w:tabs>
        <w:ind w:left="-851" w:right="283"/>
        <w:jc w:val="both"/>
      </w:pPr>
      <w:r w:rsidRPr="001208ED">
        <w:t xml:space="preserve">     В 2023 г. </w:t>
      </w:r>
      <w:r w:rsidR="00CE3D66" w:rsidRPr="001208ED">
        <w:t>и 2022 г.</w:t>
      </w:r>
      <w:r w:rsidRPr="001208ED">
        <w:t xml:space="preserve"> годах юристы ТСЖ отстояли интересы Товарищества в судебных спорах по искам, в которых собственники помещений стремились привлечь к ответственности Товарищество и уйти от ответственности за некачественную работу своего оборудования, внесенные самими </w:t>
      </w:r>
    </w:p>
    <w:p w14:paraId="389137A6" w14:textId="2319B82B" w:rsidR="003B53E2" w:rsidRPr="001208ED" w:rsidRDefault="004A7711" w:rsidP="001208ED">
      <w:pPr>
        <w:tabs>
          <w:tab w:val="left" w:pos="9356"/>
        </w:tabs>
        <w:ind w:left="-851" w:right="283"/>
        <w:jc w:val="both"/>
      </w:pPr>
      <w:r w:rsidRPr="001208ED">
        <w:t xml:space="preserve">собственниками квартир непроектные изменения в подключающие и разводящие сети; </w:t>
      </w:r>
      <w:proofErr w:type="spellStart"/>
      <w:r w:rsidRPr="001208ED">
        <w:t>обязании</w:t>
      </w:r>
      <w:proofErr w:type="spellEnd"/>
      <w:r w:rsidRPr="001208ED">
        <w:t xml:space="preserve"> собственников обеспечить доступ к инженерному оборудованию многоквартирного дома и др. </w:t>
      </w:r>
    </w:p>
    <w:p w14:paraId="4D61A01B" w14:textId="77777777" w:rsidR="000B4E90" w:rsidRDefault="004A7711" w:rsidP="001208ED">
      <w:pPr>
        <w:tabs>
          <w:tab w:val="left" w:pos="9356"/>
        </w:tabs>
        <w:ind w:left="-851" w:right="283"/>
        <w:jc w:val="both"/>
      </w:pPr>
      <w:r w:rsidRPr="001208ED">
        <w:t xml:space="preserve">Юристами ТСЖ проведена работа по досудебной и судебной работе с неплатежами собственников, возвращены средства по несвоевременным оплатам коммунальных услуг, взносов в фонд капитального ремонта, за юридические расходы, понесенные ТСЖ. В настоящее время ведется </w:t>
      </w:r>
    </w:p>
    <w:p w14:paraId="25F3CFA7" w14:textId="77777777" w:rsidR="000B4E90" w:rsidRDefault="000B4E90" w:rsidP="001208ED">
      <w:pPr>
        <w:tabs>
          <w:tab w:val="left" w:pos="9356"/>
        </w:tabs>
        <w:ind w:left="-851" w:right="283"/>
        <w:jc w:val="both"/>
      </w:pPr>
    </w:p>
    <w:p w14:paraId="519A53F8" w14:textId="77777777" w:rsidR="000B4E90" w:rsidRDefault="000B4E90" w:rsidP="001208ED">
      <w:pPr>
        <w:tabs>
          <w:tab w:val="left" w:pos="9356"/>
        </w:tabs>
        <w:ind w:left="-851" w:right="283"/>
        <w:jc w:val="both"/>
      </w:pPr>
    </w:p>
    <w:p w14:paraId="5B26BCA5" w14:textId="157200ED" w:rsidR="00A54154" w:rsidRPr="001208ED" w:rsidRDefault="004A7711" w:rsidP="001208ED">
      <w:pPr>
        <w:tabs>
          <w:tab w:val="left" w:pos="9356"/>
        </w:tabs>
        <w:ind w:left="-851" w:right="283"/>
        <w:jc w:val="both"/>
      </w:pPr>
      <w:r w:rsidRPr="001208ED">
        <w:t xml:space="preserve">судебная работа по возвращению неправомерно присвоенной общедолевой собственности многоквартирного дома; </w:t>
      </w:r>
      <w:r w:rsidR="00CE3D66" w:rsidRPr="001208ED">
        <w:t>истребованию из</w:t>
      </w:r>
      <w:r w:rsidRPr="001208ED">
        <w:t xml:space="preserve"> незаконного использования площади, относящейся к общему имуществу.</w:t>
      </w:r>
      <w:r w:rsidR="00A54154" w:rsidRPr="001208ED">
        <w:t xml:space="preserve"> </w:t>
      </w:r>
    </w:p>
    <w:p w14:paraId="72830493" w14:textId="4369D026" w:rsidR="006C5463" w:rsidRPr="001208ED" w:rsidRDefault="005F15B6" w:rsidP="001208ED">
      <w:pPr>
        <w:tabs>
          <w:tab w:val="left" w:pos="9356"/>
        </w:tabs>
        <w:ind w:left="-851" w:right="283"/>
        <w:jc w:val="both"/>
      </w:pPr>
      <w:r w:rsidRPr="001208ED">
        <w:t>Р</w:t>
      </w:r>
      <w:r w:rsidR="00A54154" w:rsidRPr="001208ED">
        <w:t xml:space="preserve">абота в этом направлении будет продолжена. </w:t>
      </w:r>
      <w:r w:rsidR="005A53CE" w:rsidRPr="001208ED">
        <w:t xml:space="preserve">ТСЖ взыскивает с </w:t>
      </w:r>
      <w:r w:rsidR="001208ED" w:rsidRPr="001208ED">
        <w:t xml:space="preserve">ответчиков </w:t>
      </w:r>
      <w:r w:rsidR="00A54154" w:rsidRPr="001208ED">
        <w:t xml:space="preserve">также юридические и прочие издержки.     </w:t>
      </w:r>
      <w:r w:rsidR="004A7711" w:rsidRPr="001208ED">
        <w:t xml:space="preserve"> </w:t>
      </w:r>
    </w:p>
    <w:p w14:paraId="4ED201CA" w14:textId="00B51270" w:rsidR="003B53E2" w:rsidRPr="001208ED" w:rsidRDefault="005F15B6" w:rsidP="001208ED">
      <w:pPr>
        <w:tabs>
          <w:tab w:val="left" w:pos="9356"/>
        </w:tabs>
        <w:ind w:left="-851" w:right="283"/>
        <w:jc w:val="both"/>
      </w:pPr>
      <w:r w:rsidRPr="001208ED">
        <w:t xml:space="preserve">          </w:t>
      </w:r>
      <w:r w:rsidR="004A7711" w:rsidRPr="001208ED">
        <w:t xml:space="preserve">Правлению ТСЖ удалось добиться от управы Тверская и депутатов районного собрания  внесения нашей придомовой территории в список объектов города для проведении глобальной реконструкции всей дворовой территории с заменой асфальтового покрытия, тротуарной плитки, реконструкции детской площадки, цветочных вазонов, скамеек и пр. Все работы будут производиться за счет городского бюджета. Проведение работ запланировано на </w:t>
      </w:r>
      <w:r w:rsidR="001065E8" w:rsidRPr="001208ED">
        <w:t>второй-третий квартал</w:t>
      </w:r>
      <w:r w:rsidR="004A7711" w:rsidRPr="001208ED">
        <w:t xml:space="preserve"> текущего года. Одновременно с эти</w:t>
      </w:r>
      <w:r w:rsidR="001065E8" w:rsidRPr="001208ED">
        <w:t xml:space="preserve">м, </w:t>
      </w:r>
      <w:r w:rsidR="004A7711" w:rsidRPr="001208ED">
        <w:t>правлением ТСЖ запланирован</w:t>
      </w:r>
      <w:r w:rsidR="001065E8" w:rsidRPr="001208ED">
        <w:t>о</w:t>
      </w:r>
      <w:r w:rsidR="004A7711" w:rsidRPr="001208ED">
        <w:t xml:space="preserve"> проведение работ по частично</w:t>
      </w:r>
      <w:r w:rsidR="001065E8" w:rsidRPr="001208ED">
        <w:t>му ремонту</w:t>
      </w:r>
      <w:r w:rsidR="004A7711" w:rsidRPr="001208ED">
        <w:t xml:space="preserve"> гидроизоляции </w:t>
      </w:r>
      <w:r w:rsidR="004C3E02" w:rsidRPr="001208ED">
        <w:t>отмостки</w:t>
      </w:r>
      <w:r w:rsidR="001065E8" w:rsidRPr="001208ED">
        <w:t xml:space="preserve"> у здания</w:t>
      </w:r>
      <w:r w:rsidR="004C3E02" w:rsidRPr="001208ED">
        <w:t>.</w:t>
      </w:r>
    </w:p>
    <w:p w14:paraId="0BB776DE" w14:textId="08B8EAA6" w:rsidR="003B53E2" w:rsidRPr="001208ED" w:rsidRDefault="004A7711" w:rsidP="001208ED">
      <w:pPr>
        <w:tabs>
          <w:tab w:val="left" w:pos="9356"/>
        </w:tabs>
        <w:ind w:left="-851" w:right="283"/>
        <w:jc w:val="both"/>
      </w:pPr>
      <w:r w:rsidRPr="001208ED">
        <w:t xml:space="preserve">     </w:t>
      </w:r>
      <w:r w:rsidR="001065E8" w:rsidRPr="001208ED">
        <w:t xml:space="preserve">   </w:t>
      </w:r>
      <w:r w:rsidRPr="001208ED">
        <w:t>Постановлением Правительства г. Москвы №2466 от 15.11.2022 г.   определен минимальный размер отчислений в фонд капитального ремонта многоквартирных домов города Москвы. С 01.01.2023 г.  размер взносов собственников составляют 24 руб. 09 коп. на 1 м2. Обязанность собственник</w:t>
      </w:r>
      <w:r w:rsidR="001065E8" w:rsidRPr="001208ED">
        <w:t>ов</w:t>
      </w:r>
      <w:r w:rsidRPr="001208ED">
        <w:t xml:space="preserve"> </w:t>
      </w:r>
      <w:r w:rsidR="00BA3F8C" w:rsidRPr="001208ED">
        <w:t xml:space="preserve"> </w:t>
      </w:r>
      <w:r w:rsidRPr="001208ED">
        <w:t xml:space="preserve">производить взносы </w:t>
      </w:r>
      <w:r w:rsidR="00BA3F8C" w:rsidRPr="001208ED">
        <w:t xml:space="preserve">в фонд </w:t>
      </w:r>
      <w:r w:rsidRPr="001208ED">
        <w:t xml:space="preserve"> капитальн</w:t>
      </w:r>
      <w:r w:rsidR="00BA3F8C" w:rsidRPr="001208ED">
        <w:t>ого</w:t>
      </w:r>
      <w:r w:rsidRPr="001208ED">
        <w:t xml:space="preserve"> ремонт</w:t>
      </w:r>
      <w:r w:rsidR="00BA3F8C" w:rsidRPr="001208ED">
        <w:t>а,</w:t>
      </w:r>
      <w:r w:rsidRPr="001208ED">
        <w:t xml:space="preserve"> определена Жилищным кодексом РФ, ст. 169, п.1 и введена в городе Москве с 01 июля 2015 года для всех собственников помещений, включая жилые и нежилые</w:t>
      </w:r>
      <w:r w:rsidR="00BA3F8C" w:rsidRPr="001208ED">
        <w:t>.</w:t>
      </w:r>
      <w:r w:rsidRPr="001208ED">
        <w:t xml:space="preserve"> </w:t>
      </w:r>
    </w:p>
    <w:p w14:paraId="5A10CE5F" w14:textId="593E5B9A" w:rsidR="004D06F5" w:rsidRPr="001208ED" w:rsidRDefault="004A7711" w:rsidP="001208ED">
      <w:pPr>
        <w:tabs>
          <w:tab w:val="left" w:pos="9356"/>
        </w:tabs>
        <w:ind w:left="-851" w:right="283"/>
        <w:jc w:val="both"/>
      </w:pPr>
      <w:r w:rsidRPr="001208ED">
        <w:t xml:space="preserve">    </w:t>
      </w:r>
      <w:r w:rsidR="00BA3F8C" w:rsidRPr="001208ED">
        <w:t xml:space="preserve">   </w:t>
      </w:r>
      <w:r w:rsidRPr="001208ED">
        <w:t xml:space="preserve">При формировании сметы ТСЖ  на 2023-2024 </w:t>
      </w:r>
      <w:proofErr w:type="spellStart"/>
      <w:r w:rsidRPr="001208ED">
        <w:t>г.г</w:t>
      </w:r>
      <w:proofErr w:type="spellEnd"/>
      <w:r w:rsidRPr="001208ED">
        <w:t>., были учтены следующие факторы: состояние коммунальной инфраструктуры, сетей, размер износа оборудования, размер общедолевой собственности и ее конструктивные особенности, ежегодное повышение тарифов на коммунальные ресурсы</w:t>
      </w:r>
      <w:r w:rsidR="004D06F5" w:rsidRPr="001208ED">
        <w:t>,</w:t>
      </w:r>
      <w:r w:rsidRPr="001208ED">
        <w:t xml:space="preserve"> изменение ценообразования на рынке ЖКХ и в политике компаний имеющими договора с ТСЖ.</w:t>
      </w:r>
      <w:r w:rsidR="00CE3D66" w:rsidRPr="001208ED">
        <w:t xml:space="preserve"> </w:t>
      </w:r>
    </w:p>
    <w:p w14:paraId="6A95ED19" w14:textId="3B866D34" w:rsidR="00E50B55" w:rsidRPr="001208ED" w:rsidRDefault="00BA3F8C" w:rsidP="001208ED">
      <w:pPr>
        <w:tabs>
          <w:tab w:val="left" w:pos="9356"/>
        </w:tabs>
        <w:ind w:left="-851" w:right="283"/>
        <w:jc w:val="both"/>
      </w:pPr>
      <w:r w:rsidRPr="001208ED">
        <w:t xml:space="preserve">       В этом году  предлагает</w:t>
      </w:r>
      <w:r w:rsidR="00F13C6E" w:rsidRPr="001208ED">
        <w:t>ся</w:t>
      </w:r>
      <w:r w:rsidRPr="001208ED">
        <w:t xml:space="preserve"> рассмотреть и проголосовать  вопрос о поручении правлению ТСЖ проведения тендера по замене магистральных и стояковых труб по всему зданию, а так же </w:t>
      </w:r>
      <w:r w:rsidR="00F13C6E" w:rsidRPr="001208ED">
        <w:t xml:space="preserve">замене </w:t>
      </w:r>
      <w:r w:rsidRPr="001208ED">
        <w:t>запорной арматуры,-задвижек и кранов за счет средств находящихся на специальном счет</w:t>
      </w:r>
      <w:r w:rsidR="007C0AD5">
        <w:t>е</w:t>
      </w:r>
      <w:r w:rsidRPr="001208ED">
        <w:t>. Также в бюллетен</w:t>
      </w:r>
      <w:r w:rsidR="00F13C6E" w:rsidRPr="001208ED">
        <w:t>е</w:t>
      </w:r>
      <w:r w:rsidRPr="001208ED">
        <w:t xml:space="preserve">, по предложению </w:t>
      </w:r>
      <w:r w:rsidR="00F13C6E" w:rsidRPr="001208ED">
        <w:t>некоторых собственников</w:t>
      </w:r>
      <w:r w:rsidRPr="001208ED">
        <w:t>, вынос</w:t>
      </w:r>
      <w:r w:rsidR="00E50B55" w:rsidRPr="001208ED">
        <w:t>я</w:t>
      </w:r>
      <w:r w:rsidRPr="001208ED">
        <w:t>тся на голосование вопрос</w:t>
      </w:r>
      <w:r w:rsidR="00E50B55" w:rsidRPr="001208ED">
        <w:t>ы:</w:t>
      </w:r>
    </w:p>
    <w:p w14:paraId="4AF5A16D" w14:textId="77777777" w:rsidR="00F13C6E" w:rsidRPr="001208ED" w:rsidRDefault="00E50B55" w:rsidP="001208ED">
      <w:pPr>
        <w:tabs>
          <w:tab w:val="left" w:pos="9356"/>
        </w:tabs>
        <w:ind w:left="-851" w:right="283"/>
        <w:jc w:val="both"/>
      </w:pPr>
      <w:r w:rsidRPr="001208ED">
        <w:t>-</w:t>
      </w:r>
      <w:r w:rsidR="00BA3F8C" w:rsidRPr="001208ED">
        <w:t xml:space="preserve"> о проведении</w:t>
      </w:r>
      <w:r w:rsidRPr="001208ED">
        <w:t xml:space="preserve"> тендера правлением ТСЖ</w:t>
      </w:r>
      <w:r w:rsidR="00BA3F8C" w:rsidRPr="001208ED">
        <w:t xml:space="preserve"> </w:t>
      </w:r>
      <w:r w:rsidRPr="001208ED">
        <w:t>для подсветки здания, за счет сбора дополнительных, целевых взносов</w:t>
      </w:r>
      <w:r w:rsidR="00F13C6E" w:rsidRPr="001208ED">
        <w:t>;</w:t>
      </w:r>
    </w:p>
    <w:p w14:paraId="16E3A75F" w14:textId="77777777" w:rsidR="00F13C6E" w:rsidRPr="001208ED" w:rsidRDefault="00E50B55" w:rsidP="001208ED">
      <w:pPr>
        <w:tabs>
          <w:tab w:val="left" w:pos="9356"/>
        </w:tabs>
        <w:ind w:left="-851" w:right="283"/>
        <w:jc w:val="both"/>
      </w:pPr>
      <w:r w:rsidRPr="001208ED">
        <w:t xml:space="preserve"> -о проезде по дворовой территории и парковке жителями дома по ул. </w:t>
      </w:r>
      <w:proofErr w:type="spellStart"/>
      <w:r w:rsidRPr="001208ED">
        <w:t>Долгоруковская</w:t>
      </w:r>
      <w:proofErr w:type="spellEnd"/>
      <w:r w:rsidRPr="001208ED">
        <w:t xml:space="preserve"> 2 по нашей дворовой территории, для возможности выезда наших жильцов с дворовой территории на ул. </w:t>
      </w:r>
      <w:proofErr w:type="spellStart"/>
      <w:r w:rsidRPr="001208ED">
        <w:t>Долгоруковская</w:t>
      </w:r>
      <w:proofErr w:type="spellEnd"/>
      <w:r w:rsidRPr="001208ED">
        <w:t xml:space="preserve">. </w:t>
      </w:r>
    </w:p>
    <w:p w14:paraId="7B75D57B" w14:textId="4FD422CE" w:rsidR="00931EBA" w:rsidRPr="001208ED" w:rsidRDefault="00F13C6E" w:rsidP="001208ED">
      <w:pPr>
        <w:tabs>
          <w:tab w:val="left" w:pos="9356"/>
        </w:tabs>
        <w:ind w:left="-851" w:right="283"/>
        <w:jc w:val="both"/>
      </w:pPr>
      <w:r w:rsidRPr="001208ED">
        <w:t xml:space="preserve">      </w:t>
      </w:r>
      <w:r w:rsidR="001208ED" w:rsidRPr="001208ED">
        <w:t xml:space="preserve"> В прошлогоднем</w:t>
      </w:r>
      <w:r w:rsidR="00E50B55" w:rsidRPr="001208ED">
        <w:t xml:space="preserve"> докладе</w:t>
      </w:r>
      <w:r w:rsidR="001208ED" w:rsidRPr="001208ED">
        <w:t xml:space="preserve"> указывалось, что </w:t>
      </w:r>
      <w:r w:rsidR="00E50B55" w:rsidRPr="001208ED">
        <w:t xml:space="preserve">открытие проезда только для наших жителей, возможно при восстановлении проектного состояния территории и </w:t>
      </w:r>
      <w:r w:rsidR="00931EBA" w:rsidRPr="001208ED">
        <w:t>приведени</w:t>
      </w:r>
      <w:r w:rsidR="007C0AD5">
        <w:t>и</w:t>
      </w:r>
      <w:r w:rsidR="00931EBA" w:rsidRPr="001208ED">
        <w:t xml:space="preserve"> лифтового</w:t>
      </w:r>
      <w:r w:rsidR="00E50B55" w:rsidRPr="001208ED">
        <w:t xml:space="preserve"> оборудования подземной парковки в рабочее состояние.</w:t>
      </w:r>
    </w:p>
    <w:p w14:paraId="7C816EE7" w14:textId="4B59AC83" w:rsidR="003B53E2" w:rsidRPr="001208ED" w:rsidRDefault="00931EBA" w:rsidP="001208ED">
      <w:pPr>
        <w:tabs>
          <w:tab w:val="left" w:pos="9356"/>
        </w:tabs>
        <w:ind w:left="-851" w:right="283"/>
        <w:jc w:val="both"/>
      </w:pPr>
      <w:r w:rsidRPr="001208ED">
        <w:t xml:space="preserve">   </w:t>
      </w:r>
      <w:r w:rsidR="00E50B55" w:rsidRPr="001208ED">
        <w:t xml:space="preserve"> </w:t>
      </w:r>
      <w:r w:rsidR="001208ED" w:rsidRPr="001208ED">
        <w:t xml:space="preserve"> </w:t>
      </w:r>
      <w:r w:rsidR="004D06F5" w:rsidRPr="001208ED">
        <w:t xml:space="preserve"> </w:t>
      </w:r>
      <w:r w:rsidR="00CE3D66" w:rsidRPr="001208ED">
        <w:t xml:space="preserve">Размер </w:t>
      </w:r>
      <w:r w:rsidR="001208ED" w:rsidRPr="001208ED">
        <w:t xml:space="preserve">начислений, </w:t>
      </w:r>
      <w:r w:rsidR="006C5463" w:rsidRPr="001208ED">
        <w:t>стоимости  м2</w:t>
      </w:r>
      <w:r w:rsidR="004D06F5" w:rsidRPr="001208ED">
        <w:t xml:space="preserve"> в ТСЖ «</w:t>
      </w:r>
      <w:proofErr w:type="spellStart"/>
      <w:r w:rsidR="004D06F5" w:rsidRPr="001208ED">
        <w:t>Краснопролетарская</w:t>
      </w:r>
      <w:proofErr w:type="spellEnd"/>
      <w:r w:rsidR="004D06F5" w:rsidRPr="001208ED">
        <w:t>»</w:t>
      </w:r>
      <w:r w:rsidR="00CE3D66" w:rsidRPr="001208ED">
        <w:t xml:space="preserve"> остается стабильным на протяжении многих лет ввиду грамотного и сбалансированного подхода к формированию ежегодной сметы</w:t>
      </w:r>
      <w:r w:rsidR="006C5463" w:rsidRPr="001208ED">
        <w:t xml:space="preserve">, а также постоянного контроля за необходимостью </w:t>
      </w:r>
      <w:r w:rsidR="006C398C" w:rsidRPr="001208ED">
        <w:t xml:space="preserve">выполнения </w:t>
      </w:r>
      <w:r w:rsidR="004D06F5" w:rsidRPr="001208ED">
        <w:t xml:space="preserve">производимых </w:t>
      </w:r>
      <w:r w:rsidR="006C398C" w:rsidRPr="001208ED">
        <w:t>работ</w:t>
      </w:r>
      <w:r w:rsidR="006C5463" w:rsidRPr="001208ED">
        <w:t xml:space="preserve"> и их качеств</w:t>
      </w:r>
      <w:r w:rsidR="004D06F5" w:rsidRPr="001208ED">
        <w:t>а</w:t>
      </w:r>
      <w:r w:rsidR="00CE3D66" w:rsidRPr="001208ED">
        <w:t>. При</w:t>
      </w:r>
      <w:r w:rsidR="004D06F5" w:rsidRPr="001208ED">
        <w:t xml:space="preserve"> возможности, или необходимости,</w:t>
      </w:r>
      <w:r w:rsidR="00CE3D66" w:rsidRPr="001208ED">
        <w:t xml:space="preserve"> регламентные работы выполняются сотрудниками ТСЖ за счет увеличения дополнительных обязанностей</w:t>
      </w:r>
      <w:r w:rsidR="006C398C" w:rsidRPr="001208ED">
        <w:t xml:space="preserve"> и, соответственно, их оплаты</w:t>
      </w:r>
      <w:r w:rsidR="00CE3D66" w:rsidRPr="001208ED">
        <w:t>. На качество обслуживания здания это не влияет</w:t>
      </w:r>
      <w:r w:rsidR="00C40111" w:rsidRPr="001208ED">
        <w:t xml:space="preserve">, но позволяет производить </w:t>
      </w:r>
      <w:r w:rsidR="006C398C" w:rsidRPr="001208ED">
        <w:t>отбор нов</w:t>
      </w:r>
      <w:r w:rsidR="001208ED" w:rsidRPr="001208ED">
        <w:t>ых сотрудников</w:t>
      </w:r>
      <w:r w:rsidR="00C40111" w:rsidRPr="001208ED">
        <w:t xml:space="preserve"> более тщательно</w:t>
      </w:r>
      <w:r w:rsidR="00F13C6E" w:rsidRPr="001208ED">
        <w:t>, не набирая случайный персонал</w:t>
      </w:r>
      <w:r w:rsidR="006C398C" w:rsidRPr="001208ED">
        <w:t>.</w:t>
      </w:r>
      <w:r w:rsidR="00C40111" w:rsidRPr="001208ED">
        <w:t xml:space="preserve"> Одновременно штатные</w:t>
      </w:r>
      <w:r w:rsidR="004C3E02" w:rsidRPr="001208ED">
        <w:t xml:space="preserve"> сотрудники</w:t>
      </w:r>
      <w:r w:rsidR="00C40111" w:rsidRPr="001208ED">
        <w:t xml:space="preserve"> имеют возможность дополнительно</w:t>
      </w:r>
      <w:r w:rsidR="006C398C" w:rsidRPr="001208ED">
        <w:t>го</w:t>
      </w:r>
      <w:r w:rsidR="00C40111" w:rsidRPr="001208ED">
        <w:t xml:space="preserve"> заработ</w:t>
      </w:r>
      <w:r w:rsidR="006C398C" w:rsidRPr="001208ED">
        <w:t>ка</w:t>
      </w:r>
      <w:r w:rsidR="00C40111" w:rsidRPr="001208ED">
        <w:t>, используя свои знания и навыки при этом не снижа</w:t>
      </w:r>
      <w:r w:rsidR="004D06F5" w:rsidRPr="001208ED">
        <w:t>ется</w:t>
      </w:r>
      <w:r w:rsidR="00C40111" w:rsidRPr="001208ED">
        <w:t xml:space="preserve"> качеств</w:t>
      </w:r>
      <w:r w:rsidR="004D06F5" w:rsidRPr="001208ED">
        <w:t>о их</w:t>
      </w:r>
      <w:r w:rsidR="00C40111" w:rsidRPr="001208ED">
        <w:t xml:space="preserve"> труда. Оклады сотрудников ТСЖ соответствуют коэффициенту соответствующего уровня знаний для обслуживания общедол</w:t>
      </w:r>
      <w:r w:rsidR="004C3E02" w:rsidRPr="001208ED">
        <w:t>е</w:t>
      </w:r>
      <w:r w:rsidR="00C40111" w:rsidRPr="001208ED">
        <w:t>вой собственности</w:t>
      </w:r>
      <w:r w:rsidR="004D06F5" w:rsidRPr="001208ED">
        <w:t xml:space="preserve"> жилого здания</w:t>
      </w:r>
      <w:r w:rsidR="004C3E02" w:rsidRPr="001208ED">
        <w:t>, графика работы</w:t>
      </w:r>
      <w:r w:rsidR="00C40111" w:rsidRPr="001208ED">
        <w:t xml:space="preserve"> и городской практики при обслуживании одного здания. </w:t>
      </w:r>
    </w:p>
    <w:p w14:paraId="3D91647A" w14:textId="6C929B20" w:rsidR="003B53E2" w:rsidRPr="001208ED" w:rsidRDefault="004A7711" w:rsidP="001208ED">
      <w:pPr>
        <w:tabs>
          <w:tab w:val="left" w:pos="9356"/>
        </w:tabs>
        <w:ind w:left="-851" w:right="283"/>
        <w:jc w:val="both"/>
      </w:pPr>
      <w:r w:rsidRPr="001208ED">
        <w:t>В случае принятия положительных решений</w:t>
      </w:r>
      <w:r w:rsidR="004D06F5" w:rsidRPr="001208ED">
        <w:t xml:space="preserve"> </w:t>
      </w:r>
      <w:r w:rsidR="005A53CE" w:rsidRPr="001208ED">
        <w:t xml:space="preserve">по </w:t>
      </w:r>
      <w:r w:rsidR="001208ED" w:rsidRPr="001208ED">
        <w:t>вопросам бюллетеня</w:t>
      </w:r>
      <w:r w:rsidR="00F13C6E" w:rsidRPr="001208ED">
        <w:t xml:space="preserve"> 8 и 9</w:t>
      </w:r>
      <w:r w:rsidRPr="001208ED">
        <w:t>, правлением ТСЖ позже будут проведены тендеры и предложены сметы для голосования по вышеперечисленным вопросам</w:t>
      </w:r>
      <w:r w:rsidR="004D06F5" w:rsidRPr="001208ED">
        <w:t xml:space="preserve"> на внеочередном собрании</w:t>
      </w:r>
      <w:r w:rsidR="004C3E02" w:rsidRPr="001208ED">
        <w:t xml:space="preserve">. </w:t>
      </w:r>
    </w:p>
    <w:p w14:paraId="0DC8763D" w14:textId="77777777" w:rsidR="003B53E2" w:rsidRDefault="004A7711" w:rsidP="001208ED">
      <w:pPr>
        <w:tabs>
          <w:tab w:val="left" w:pos="9356"/>
        </w:tabs>
        <w:ind w:left="-851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5E6CB46F" w14:textId="77777777" w:rsidR="003B53E2" w:rsidRDefault="004A7711" w:rsidP="001208ED">
      <w:pPr>
        <w:tabs>
          <w:tab w:val="left" w:pos="9356"/>
        </w:tabs>
        <w:ind w:left="-851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14:paraId="0B5301F6" w14:textId="77777777" w:rsidR="003B53E2" w:rsidRDefault="003B53E2" w:rsidP="001208ED">
      <w:pPr>
        <w:tabs>
          <w:tab w:val="left" w:pos="9356"/>
        </w:tabs>
        <w:ind w:left="-851" w:right="283"/>
        <w:jc w:val="both"/>
        <w:rPr>
          <w:sz w:val="28"/>
          <w:szCs w:val="28"/>
        </w:rPr>
      </w:pPr>
    </w:p>
    <w:p w14:paraId="0A7EE29B" w14:textId="77777777" w:rsidR="003B53E2" w:rsidRDefault="003B53E2" w:rsidP="001208ED">
      <w:pPr>
        <w:tabs>
          <w:tab w:val="left" w:pos="9356"/>
        </w:tabs>
        <w:ind w:left="-851" w:right="283"/>
        <w:jc w:val="both"/>
        <w:rPr>
          <w:sz w:val="28"/>
          <w:szCs w:val="28"/>
        </w:rPr>
      </w:pPr>
    </w:p>
    <w:p w14:paraId="40C81C8A" w14:textId="77777777" w:rsidR="003B53E2" w:rsidRDefault="004A7711" w:rsidP="001208ED">
      <w:pPr>
        <w:tabs>
          <w:tab w:val="left" w:pos="9356"/>
        </w:tabs>
        <w:ind w:left="-851"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sectPr w:rsidR="003B53E2" w:rsidSect="001208ED">
      <w:pgSz w:w="11906" w:h="16838"/>
      <w:pgMar w:top="142" w:right="424" w:bottom="26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659AF" w14:textId="77777777" w:rsidR="00A12089" w:rsidRDefault="00A12089">
      <w:pPr>
        <w:spacing w:line="240" w:lineRule="auto"/>
      </w:pPr>
      <w:r>
        <w:separator/>
      </w:r>
    </w:p>
  </w:endnote>
  <w:endnote w:type="continuationSeparator" w:id="0">
    <w:p w14:paraId="33E8858C" w14:textId="77777777" w:rsidR="00A12089" w:rsidRDefault="00A120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jaVu Sans">
    <w:altName w:val="Verdana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82B52" w14:textId="77777777" w:rsidR="00A12089" w:rsidRDefault="00A12089">
      <w:pPr>
        <w:spacing w:line="240" w:lineRule="auto"/>
      </w:pPr>
      <w:r>
        <w:separator/>
      </w:r>
    </w:p>
  </w:footnote>
  <w:footnote w:type="continuationSeparator" w:id="0">
    <w:p w14:paraId="27D2FC41" w14:textId="77777777" w:rsidR="00A12089" w:rsidRDefault="00A120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B84BE0"/>
    <w:multiLevelType w:val="hybridMultilevel"/>
    <w:tmpl w:val="45FE81E8"/>
    <w:lvl w:ilvl="0" w:tplc="08FE6C0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7A0E6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75053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B0E5B6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6667AF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148B9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3E2163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05276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C54591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042C26"/>
    <w:multiLevelType w:val="hybridMultilevel"/>
    <w:tmpl w:val="DF346048"/>
    <w:lvl w:ilvl="0" w:tplc="114CD634">
      <w:start w:val="1"/>
      <w:numFmt w:val="decimal"/>
      <w:lvlText w:val="%1."/>
      <w:lvlJc w:val="left"/>
      <w:pPr>
        <w:tabs>
          <w:tab w:val="num" w:pos="0"/>
        </w:tabs>
        <w:ind w:left="916" w:hanging="360"/>
      </w:pPr>
    </w:lvl>
    <w:lvl w:ilvl="1" w:tplc="1A6AB376">
      <w:start w:val="1"/>
      <w:numFmt w:val="lowerLetter"/>
      <w:lvlText w:val="%2."/>
      <w:lvlJc w:val="left"/>
      <w:pPr>
        <w:tabs>
          <w:tab w:val="num" w:pos="0"/>
        </w:tabs>
        <w:ind w:left="196" w:hanging="360"/>
      </w:pPr>
    </w:lvl>
    <w:lvl w:ilvl="2" w:tplc="2CF0832E">
      <w:start w:val="1"/>
      <w:numFmt w:val="lowerRoman"/>
      <w:lvlText w:val="%3."/>
      <w:lvlJc w:val="right"/>
      <w:pPr>
        <w:tabs>
          <w:tab w:val="num" w:pos="0"/>
        </w:tabs>
        <w:ind w:left="524" w:hanging="180"/>
      </w:pPr>
    </w:lvl>
    <w:lvl w:ilvl="3" w:tplc="0554BEC0">
      <w:start w:val="1"/>
      <w:numFmt w:val="decimal"/>
      <w:lvlText w:val="%4."/>
      <w:lvlJc w:val="left"/>
      <w:pPr>
        <w:tabs>
          <w:tab w:val="num" w:pos="0"/>
        </w:tabs>
        <w:ind w:left="1244" w:hanging="360"/>
      </w:pPr>
    </w:lvl>
    <w:lvl w:ilvl="4" w:tplc="7CCAB96E">
      <w:start w:val="1"/>
      <w:numFmt w:val="lowerLetter"/>
      <w:lvlText w:val="%5."/>
      <w:lvlJc w:val="left"/>
      <w:pPr>
        <w:tabs>
          <w:tab w:val="num" w:pos="0"/>
        </w:tabs>
        <w:ind w:left="1964" w:hanging="360"/>
      </w:pPr>
    </w:lvl>
    <w:lvl w:ilvl="5" w:tplc="68DAD1F6">
      <w:start w:val="1"/>
      <w:numFmt w:val="lowerRoman"/>
      <w:lvlText w:val="%6."/>
      <w:lvlJc w:val="right"/>
      <w:pPr>
        <w:tabs>
          <w:tab w:val="num" w:pos="0"/>
        </w:tabs>
        <w:ind w:left="2684" w:hanging="180"/>
      </w:pPr>
    </w:lvl>
    <w:lvl w:ilvl="6" w:tplc="4C40B456">
      <w:start w:val="1"/>
      <w:numFmt w:val="decimal"/>
      <w:lvlText w:val="%7."/>
      <w:lvlJc w:val="left"/>
      <w:pPr>
        <w:tabs>
          <w:tab w:val="num" w:pos="0"/>
        </w:tabs>
        <w:ind w:left="3404" w:hanging="360"/>
      </w:pPr>
    </w:lvl>
    <w:lvl w:ilvl="7" w:tplc="B886606C">
      <w:start w:val="1"/>
      <w:numFmt w:val="lowerLetter"/>
      <w:lvlText w:val="%8."/>
      <w:lvlJc w:val="left"/>
      <w:pPr>
        <w:tabs>
          <w:tab w:val="num" w:pos="0"/>
        </w:tabs>
        <w:ind w:left="4124" w:hanging="360"/>
      </w:pPr>
    </w:lvl>
    <w:lvl w:ilvl="8" w:tplc="706C5B92">
      <w:start w:val="1"/>
      <w:numFmt w:val="lowerRoman"/>
      <w:lvlText w:val="%9."/>
      <w:lvlJc w:val="right"/>
      <w:pPr>
        <w:tabs>
          <w:tab w:val="num" w:pos="0"/>
        </w:tabs>
        <w:ind w:left="484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3E2"/>
    <w:rsid w:val="00086DB4"/>
    <w:rsid w:val="000B4E90"/>
    <w:rsid w:val="001065E8"/>
    <w:rsid w:val="001208ED"/>
    <w:rsid w:val="0031141A"/>
    <w:rsid w:val="00323790"/>
    <w:rsid w:val="00354DCD"/>
    <w:rsid w:val="0037510A"/>
    <w:rsid w:val="00393E72"/>
    <w:rsid w:val="003B53E2"/>
    <w:rsid w:val="003F5C8C"/>
    <w:rsid w:val="004640AC"/>
    <w:rsid w:val="004A7711"/>
    <w:rsid w:val="004C3E02"/>
    <w:rsid w:val="004D06F5"/>
    <w:rsid w:val="005A53CE"/>
    <w:rsid w:val="005F15B6"/>
    <w:rsid w:val="00603E2D"/>
    <w:rsid w:val="00620E26"/>
    <w:rsid w:val="00663746"/>
    <w:rsid w:val="006C398C"/>
    <w:rsid w:val="006C5463"/>
    <w:rsid w:val="006F5D77"/>
    <w:rsid w:val="007C0AD5"/>
    <w:rsid w:val="008B5D90"/>
    <w:rsid w:val="009162AA"/>
    <w:rsid w:val="00931EBA"/>
    <w:rsid w:val="00975AF4"/>
    <w:rsid w:val="00A0377B"/>
    <w:rsid w:val="00A12089"/>
    <w:rsid w:val="00A54154"/>
    <w:rsid w:val="00AA7FAB"/>
    <w:rsid w:val="00B04D8E"/>
    <w:rsid w:val="00B9019C"/>
    <w:rsid w:val="00BA3F8C"/>
    <w:rsid w:val="00BF6F0F"/>
    <w:rsid w:val="00C40111"/>
    <w:rsid w:val="00C41F88"/>
    <w:rsid w:val="00C62CB4"/>
    <w:rsid w:val="00CB1C9C"/>
    <w:rsid w:val="00CE3D66"/>
    <w:rsid w:val="00D509A8"/>
    <w:rsid w:val="00DA4A56"/>
    <w:rsid w:val="00DC37F3"/>
    <w:rsid w:val="00E50B55"/>
    <w:rsid w:val="00F13C6E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B3834"/>
  <w15:docId w15:val="{62233224-DCFF-4AE2-B6A6-8848FC6E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100" w:lineRule="atLeast"/>
    </w:pPr>
    <w:rPr>
      <w:rFonts w:eastAsia="Times New Roman" w:cs="Times New Roman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13">
    <w:name w:val="Текст выноски Знак1"/>
    <w:qFormat/>
    <w:rPr>
      <w:rFonts w:ascii="Segoe UI" w:hAnsi="Segoe UI" w:cs="Segoe UI"/>
      <w:sz w:val="18"/>
      <w:szCs w:val="18"/>
      <w:lang w:eastAsia="ar-SA"/>
    </w:rPr>
  </w:style>
  <w:style w:type="character" w:customStyle="1" w:styleId="af9">
    <w:name w:val="Текст выноски Знак"/>
    <w:qFormat/>
    <w:rPr>
      <w:rFonts w:ascii="Segoe UI" w:eastAsia="Times New Roman" w:hAnsi="Segoe UI" w:cs="Segoe UI"/>
      <w:sz w:val="18"/>
      <w:szCs w:val="18"/>
    </w:rPr>
  </w:style>
  <w:style w:type="character" w:customStyle="1" w:styleId="s3">
    <w:name w:val="s3"/>
    <w:qFormat/>
  </w:style>
  <w:style w:type="character" w:customStyle="1" w:styleId="normaltextrun">
    <w:name w:val="normaltextrun"/>
    <w:qFormat/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a">
    <w:name w:val="Body Text"/>
    <w:basedOn w:val="a"/>
    <w:pPr>
      <w:spacing w:after="120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d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5">
    <w:name w:val="Указатель1"/>
    <w:basedOn w:val="a"/>
    <w:qFormat/>
    <w:pPr>
      <w:suppressLineNumbers/>
    </w:pPr>
    <w:rPr>
      <w:rFonts w:cs="Arial"/>
    </w:rPr>
  </w:style>
  <w:style w:type="paragraph" w:customStyle="1" w:styleId="paragraph">
    <w:name w:val="paragraph"/>
    <w:basedOn w:val="a"/>
    <w:qFormat/>
    <w:pPr>
      <w:spacing w:before="100" w:after="100" w:line="240" w:lineRule="auto"/>
    </w:pPr>
    <w:rPr>
      <w:lang w:eastAsia="ru-RU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dc:description/>
  <cp:lastModifiedBy>10100</cp:lastModifiedBy>
  <cp:revision>2</cp:revision>
  <cp:lastPrinted>2023-06-21T12:13:00Z</cp:lastPrinted>
  <dcterms:created xsi:type="dcterms:W3CDTF">2023-06-21T12:14:00Z</dcterms:created>
  <dcterms:modified xsi:type="dcterms:W3CDTF">2023-06-21T12:14:00Z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ICV">
    <vt:lpwstr>03FA11C08C3E40179D15BA695700EC25</vt:lpwstr>
  </property>
  <property fmtid="{D5CDD505-2E9C-101B-9397-08002B2CF9AE}" pid="4" name="KSOProductBuildVer">
    <vt:lpwstr>1049-11.2.0.11486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